
<file path=[Content_Types].xml><?xml version="1.0" encoding="utf-8"?>
<Types xmlns="http://schemas.openxmlformats.org/package/2006/content-types">
  <Default Extension="tiff" ContentType="image/tif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numPr>
          <w:ilvl w:val="0"/>
          <w:numId w:val="0"/>
        </w:numPr>
        <w:ind w:leftChars="0"/>
        <w:rPr>
          <w:rFonts w:hint="default" w:ascii="Times New Roman" w:hAnsi="Times New Roman" w:cs="Times New Roman"/>
          <w:b/>
          <w:bCs/>
          <w:sz w:val="24"/>
          <w:szCs w:val="24"/>
        </w:rPr>
      </w:pPr>
    </w:p>
    <w:p>
      <w:pPr>
        <w:snapToGrid w:val="0"/>
        <w:spacing w:line="480" w:lineRule="auto"/>
        <w:outlineLvl w:val="0"/>
        <w:rPr>
          <w:rFonts w:hint="default" w:ascii="Times New Roman" w:hAnsi="Times New Roman" w:cs="Times New Roman"/>
          <w:b/>
          <w:bCs/>
          <w:sz w:val="32"/>
          <w:szCs w:val="32"/>
        </w:rPr>
      </w:pPr>
      <w:r>
        <w:rPr>
          <w:rFonts w:hint="eastAsia" w:ascii="Times New Roman" w:hAnsi="Times New Roman" w:cs="Times New Roman"/>
          <w:b/>
          <w:bCs/>
          <w:sz w:val="32"/>
          <w:szCs w:val="32"/>
        </w:rPr>
        <w:t>SUPPLEMENTARY INFORMATION FOR</w:t>
      </w:r>
    </w:p>
    <w:p>
      <w:pPr>
        <w:numPr>
          <w:ilvl w:val="0"/>
          <w:numId w:val="0"/>
        </w:numPr>
        <w:ind w:leftChars="0"/>
        <w:rPr>
          <w:rFonts w:ascii="Times New Roman" w:hAnsi="Times New Roman" w:cs="Times New Roman"/>
          <w:sz w:val="28"/>
          <w:szCs w:val="28"/>
        </w:rPr>
      </w:pPr>
      <w:r>
        <w:rPr>
          <w:rFonts w:ascii="Times New Roman" w:hAnsi="Times New Roman" w:cs="Times New Roman"/>
          <w:sz w:val="28"/>
          <w:szCs w:val="28"/>
        </w:rPr>
        <w:t xml:space="preserve">RBBP4 regulates the expression of Mre11-Rad50-NBS1(MRN)complex and promotes DNA double-strand breaks repair to mediate glioblastoma </w:t>
      </w:r>
      <w:r>
        <w:rPr>
          <w:rFonts w:hint="default" w:ascii="Times New Roman" w:hAnsi="Times New Roman" w:cs="Times New Roman"/>
          <w:sz w:val="28"/>
          <w:szCs w:val="28"/>
        </w:rPr>
        <w:t>Chemo</w:t>
      </w:r>
      <w:r>
        <w:rPr>
          <w:rFonts w:ascii="Times New Roman" w:hAnsi="Times New Roman" w:cs="Times New Roman"/>
          <w:sz w:val="28"/>
          <w:szCs w:val="28"/>
        </w:rPr>
        <w:t>radiotherapy resistance</w:t>
      </w:r>
    </w:p>
    <w:p>
      <w:pPr>
        <w:numPr>
          <w:ilvl w:val="0"/>
          <w:numId w:val="0"/>
        </w:numPr>
        <w:ind w:leftChars="0"/>
        <w:rPr>
          <w:rFonts w:hint="default" w:ascii="Times New Roman" w:hAnsi="Times New Roman" w:cs="Times New Roman"/>
          <w:sz w:val="28"/>
          <w:szCs w:val="28"/>
        </w:rPr>
      </w:pPr>
    </w:p>
    <w:p>
      <w:pPr>
        <w:ind w:firstLine="420" w:firstLineChars="200"/>
        <w:rPr>
          <w:rFonts w:hint="default" w:ascii="Times New Roman" w:hAnsi="Times New Roman" w:cs="Times New Roman"/>
          <w:color w:val="231F20"/>
          <w:szCs w:val="21"/>
          <w:lang w:val="en-US" w:eastAsia="zh-CN"/>
        </w:rPr>
      </w:pPr>
    </w:p>
    <w:p>
      <w:pPr>
        <w:snapToGrid w:val="0"/>
        <w:spacing w:line="480" w:lineRule="auto"/>
        <w:outlineLvl w:val="0"/>
        <w:rPr>
          <w:rFonts w:hint="default" w:ascii="Times New Roman" w:hAnsi="Times New Roman" w:cs="Times New Roman"/>
          <w:b/>
          <w:bCs/>
          <w:sz w:val="24"/>
          <w:szCs w:val="24"/>
        </w:rPr>
      </w:pPr>
      <w:r>
        <w:rPr>
          <w:rFonts w:hint="default" w:ascii="Times New Roman" w:hAnsi="Times New Roman" w:cs="Times New Roman"/>
          <w:b/>
          <w:bCs/>
          <w:sz w:val="32"/>
          <w:szCs w:val="32"/>
        </w:rPr>
        <w:t>Supplemental Materials and Methods</w:t>
      </w:r>
    </w:p>
    <w:p>
      <w:pPr>
        <w:numPr>
          <w:ilvl w:val="0"/>
          <w:numId w:val="0"/>
        </w:numPr>
        <w:rPr>
          <w:rFonts w:hint="default" w:ascii="Times New Roman" w:hAnsi="Times New Roman" w:cs="Times New Roman"/>
          <w:b/>
          <w:bCs/>
          <w:sz w:val="28"/>
          <w:szCs w:val="28"/>
        </w:rPr>
      </w:pPr>
      <w:r>
        <w:rPr>
          <w:rFonts w:hint="default" w:ascii="Times New Roman" w:hAnsi="Times New Roman" w:cs="Times New Roman"/>
          <w:b/>
          <w:bCs/>
          <w:sz w:val="28"/>
          <w:szCs w:val="28"/>
        </w:rPr>
        <w:t>Cell culture and transfection</w:t>
      </w:r>
    </w:p>
    <w:p>
      <w:pPr>
        <w:numPr>
          <w:ilvl w:val="0"/>
          <w:numId w:val="0"/>
        </w:numPr>
        <w:ind w:leftChars="0"/>
        <w:rPr>
          <w:rFonts w:hint="default" w:ascii="Times New Roman" w:hAnsi="Times New Roman" w:cs="Times New Roman"/>
          <w:b/>
          <w:bCs/>
          <w:sz w:val="24"/>
          <w:szCs w:val="24"/>
          <w:lang w:val="en-US" w:eastAsia="zh-CN"/>
        </w:rPr>
      </w:pPr>
      <w:r>
        <w:rPr>
          <w:rFonts w:hint="default" w:ascii="Times New Roman" w:hAnsi="Times New Roman" w:cs="Times New Roman"/>
          <w:b/>
          <w:bCs/>
          <w:sz w:val="24"/>
          <w:szCs w:val="24"/>
          <w:lang w:val="en-US" w:eastAsia="zh-CN"/>
        </w:rPr>
        <w:t>Cell culture</w:t>
      </w:r>
    </w:p>
    <w:p>
      <w:pPr>
        <w:numPr>
          <w:ilvl w:val="0"/>
          <w:numId w:val="0"/>
        </w:numPr>
        <w:ind w:leftChars="0" w:firstLine="440" w:firstLineChars="200"/>
        <w:rPr>
          <w:rFonts w:hint="default" w:ascii="Times New Roman" w:hAnsi="Times New Roman" w:cs="Times New Roman"/>
          <w:sz w:val="22"/>
          <w:szCs w:val="22"/>
        </w:rPr>
      </w:pPr>
      <w:r>
        <w:rPr>
          <w:rFonts w:hint="default" w:ascii="Times New Roman" w:hAnsi="Times New Roman" w:cs="Times New Roman"/>
          <w:sz w:val="22"/>
          <w:szCs w:val="22"/>
        </w:rPr>
        <w:t xml:space="preserve">The human GBM cell lines (U87MG, LN229, T98G, A172, and U118) were purchased from the American Type Culture Collection (Bethesda, MD, USA). U251 cells were obtained from Shanghai Institutes for Biological Sciences, Chinese Academy of Sciences. The cells were normally cultured in DMEM (containing 4.5 g/L glucose, Gibco 11995065; Gaithersburg, MD, USA) with 10% FBS (Gibco, 16140071) and 1% penicillin/streptomycin (Gibco, 10378016). All cell lines were cultured at 37 </w:t>
      </w:r>
      <w:r>
        <w:rPr>
          <w:rFonts w:hint="default" w:ascii="Times New Roman" w:hAnsi="Times New Roman" w:cs="Times New Roman"/>
          <w:sz w:val="22"/>
          <w:szCs w:val="22"/>
        </w:rPr>
        <w:sym w:font="Symbol" w:char="F0B0"/>
      </w:r>
      <w:r>
        <w:rPr>
          <w:rFonts w:hint="default" w:ascii="Times New Roman" w:hAnsi="Times New Roman" w:cs="Times New Roman"/>
          <w:sz w:val="22"/>
          <w:szCs w:val="22"/>
        </w:rPr>
        <w:t>C in a humidified atmosphere of 5% CO2.</w:t>
      </w:r>
    </w:p>
    <w:p>
      <w:pPr>
        <w:numPr>
          <w:ilvl w:val="0"/>
          <w:numId w:val="0"/>
        </w:numPr>
        <w:ind w:leftChars="0" w:firstLine="420" w:firstLineChars="200"/>
        <w:rPr>
          <w:rFonts w:hint="default" w:ascii="Times New Roman" w:hAnsi="Times New Roman" w:cs="Times New Roman"/>
          <w:szCs w:val="21"/>
        </w:rPr>
      </w:pPr>
    </w:p>
    <w:p>
      <w:pPr>
        <w:numPr>
          <w:ilvl w:val="0"/>
          <w:numId w:val="0"/>
        </w:numPr>
        <w:ind w:leftChars="0"/>
        <w:rPr>
          <w:rFonts w:hint="default" w:ascii="Times New Roman" w:hAnsi="Times New Roman" w:cs="Times New Roman"/>
          <w:b/>
          <w:bCs/>
          <w:i/>
          <w:iCs/>
          <w:sz w:val="24"/>
          <w:szCs w:val="24"/>
        </w:rPr>
      </w:pPr>
      <w:r>
        <w:rPr>
          <w:rFonts w:hint="default" w:ascii="Times New Roman" w:hAnsi="Times New Roman" w:cs="Times New Roman"/>
          <w:b/>
          <w:bCs/>
          <w:sz w:val="24"/>
          <w:szCs w:val="24"/>
        </w:rPr>
        <w:t xml:space="preserve">Transient knockdown of </w:t>
      </w:r>
      <w:r>
        <w:rPr>
          <w:rFonts w:hint="default" w:ascii="Times New Roman" w:hAnsi="Times New Roman" w:cs="Times New Roman"/>
          <w:b/>
          <w:bCs/>
          <w:i/>
          <w:iCs/>
          <w:sz w:val="24"/>
          <w:szCs w:val="24"/>
        </w:rPr>
        <w:t>RBBP4,</w:t>
      </w:r>
      <w:r>
        <w:rPr>
          <w:rFonts w:ascii="Times New Roman" w:hAnsi="Times New Roman" w:cs="Times New Roman"/>
          <w:b/>
          <w:bCs/>
          <w:i/>
          <w:iCs/>
          <w:sz w:val="24"/>
          <w:szCs w:val="24"/>
        </w:rPr>
        <w:t xml:space="preserve"> </w:t>
      </w:r>
      <w:r>
        <w:rPr>
          <w:rFonts w:hint="default" w:ascii="Times New Roman" w:hAnsi="Times New Roman" w:cs="Times New Roman"/>
          <w:b/>
          <w:bCs/>
          <w:i/>
          <w:iCs/>
          <w:sz w:val="24"/>
          <w:szCs w:val="24"/>
        </w:rPr>
        <w:t>RAD50,</w:t>
      </w:r>
      <w:r>
        <w:rPr>
          <w:rFonts w:ascii="Times New Roman" w:hAnsi="Times New Roman" w:cs="Times New Roman"/>
          <w:b/>
          <w:bCs/>
          <w:i/>
          <w:iCs/>
          <w:sz w:val="24"/>
          <w:szCs w:val="24"/>
        </w:rPr>
        <w:t xml:space="preserve"> </w:t>
      </w:r>
      <w:r>
        <w:rPr>
          <w:rFonts w:hint="default" w:ascii="Times New Roman" w:hAnsi="Times New Roman" w:cs="Times New Roman"/>
          <w:b/>
          <w:bCs/>
          <w:i/>
          <w:iCs/>
          <w:sz w:val="24"/>
          <w:szCs w:val="24"/>
        </w:rPr>
        <w:t>ELF1,</w:t>
      </w:r>
      <w:r>
        <w:rPr>
          <w:rFonts w:ascii="Times New Roman" w:hAnsi="Times New Roman" w:cs="Times New Roman"/>
          <w:b/>
          <w:bCs/>
          <w:i/>
          <w:iCs/>
          <w:sz w:val="24"/>
          <w:szCs w:val="24"/>
        </w:rPr>
        <w:t xml:space="preserve"> </w:t>
      </w:r>
      <w:r>
        <w:rPr>
          <w:rFonts w:hint="default" w:ascii="Times New Roman" w:hAnsi="Times New Roman" w:cs="Times New Roman"/>
          <w:b/>
          <w:bCs/>
          <w:i/>
          <w:iCs/>
          <w:sz w:val="24"/>
          <w:szCs w:val="24"/>
        </w:rPr>
        <w:t>GATA3</w:t>
      </w:r>
    </w:p>
    <w:p>
      <w:pPr>
        <w:ind w:firstLine="440" w:firstLineChars="200"/>
        <w:rPr>
          <w:rFonts w:hint="default" w:ascii="Times New Roman" w:hAnsi="Times New Roman" w:cs="Times New Roman"/>
          <w:sz w:val="22"/>
          <w:szCs w:val="22"/>
        </w:rPr>
      </w:pPr>
      <w:r>
        <w:rPr>
          <w:rFonts w:hint="eastAsia" w:ascii="Times New Roman" w:hAnsi="Times New Roman" w:cs="Times New Roman"/>
          <w:sz w:val="22"/>
          <w:szCs w:val="22"/>
          <w:lang w:eastAsia="zh-CN"/>
        </w:rPr>
        <w:t>S</w:t>
      </w:r>
      <w:r>
        <w:rPr>
          <w:rFonts w:hint="default" w:ascii="Times New Roman" w:hAnsi="Times New Roman" w:cs="Times New Roman"/>
          <w:sz w:val="22"/>
          <w:szCs w:val="22"/>
        </w:rPr>
        <w:t>iRNAs targeting RBBP4,</w:t>
      </w:r>
      <w:r>
        <w:rPr>
          <w:rFonts w:ascii="Times New Roman" w:hAnsi="Times New Roman" w:cs="Times New Roman"/>
          <w:sz w:val="22"/>
          <w:szCs w:val="22"/>
        </w:rPr>
        <w:t xml:space="preserve"> </w:t>
      </w:r>
      <w:r>
        <w:rPr>
          <w:rFonts w:hint="default" w:ascii="Times New Roman" w:hAnsi="Times New Roman" w:cs="Times New Roman"/>
          <w:sz w:val="22"/>
          <w:szCs w:val="22"/>
        </w:rPr>
        <w:t>RAD50,</w:t>
      </w:r>
      <w:r>
        <w:rPr>
          <w:rFonts w:ascii="Times New Roman" w:hAnsi="Times New Roman" w:cs="Times New Roman"/>
          <w:sz w:val="22"/>
          <w:szCs w:val="22"/>
        </w:rPr>
        <w:t xml:space="preserve"> </w:t>
      </w:r>
      <w:r>
        <w:rPr>
          <w:rFonts w:hint="default" w:ascii="Times New Roman" w:hAnsi="Times New Roman" w:cs="Times New Roman"/>
          <w:sz w:val="22"/>
          <w:szCs w:val="22"/>
        </w:rPr>
        <w:t xml:space="preserve">ELF1 and GATA3 were provided by GenePharma (Jiangsu, China). Cells were transfected using Lipofectamine 2000 reagent (Invitrogen, 11668-019; Carlsbad, CA, USA) 24 h after plating. Transfection protocol was performed as described previously. The siRNA sequences are available in the </w:t>
      </w:r>
      <w:r>
        <w:rPr>
          <w:rFonts w:hint="default" w:ascii="Times New Roman" w:hAnsi="Times New Roman" w:cs="Times New Roman"/>
          <w:b/>
          <w:bCs/>
          <w:sz w:val="22"/>
          <w:szCs w:val="22"/>
        </w:rPr>
        <w:t>Supplementa</w:t>
      </w:r>
      <w:r>
        <w:rPr>
          <w:rFonts w:hint="eastAsia" w:ascii="Times New Roman" w:hAnsi="Times New Roman" w:cs="Times New Roman"/>
          <w:b/>
          <w:bCs/>
          <w:sz w:val="22"/>
          <w:szCs w:val="22"/>
          <w:lang w:val="en-US" w:eastAsia="zh-CN"/>
        </w:rPr>
        <w:t>ry</w:t>
      </w:r>
      <w:r>
        <w:rPr>
          <w:rFonts w:hint="default" w:ascii="Times New Roman" w:hAnsi="Times New Roman" w:cs="Times New Roman"/>
          <w:b/>
          <w:bCs/>
          <w:sz w:val="22"/>
          <w:szCs w:val="22"/>
        </w:rPr>
        <w:t xml:space="preserve"> </w:t>
      </w:r>
      <w:r>
        <w:rPr>
          <w:rFonts w:hint="eastAsia" w:ascii="Times New Roman" w:hAnsi="Times New Roman" w:cs="Times New Roman"/>
          <w:b/>
          <w:bCs/>
          <w:sz w:val="22"/>
          <w:szCs w:val="22"/>
          <w:lang w:val="en-US" w:eastAsia="zh-CN"/>
        </w:rPr>
        <w:t>table</w:t>
      </w:r>
      <w:r>
        <w:rPr>
          <w:rFonts w:hint="default" w:ascii="Times New Roman" w:hAnsi="Times New Roman" w:cs="Times New Roman"/>
          <w:sz w:val="22"/>
          <w:szCs w:val="22"/>
        </w:rPr>
        <w:t xml:space="preserve"> available online.</w:t>
      </w:r>
    </w:p>
    <w:p>
      <w:pPr>
        <w:ind w:firstLine="420" w:firstLineChars="200"/>
        <w:rPr>
          <w:rFonts w:hint="default" w:ascii="Times New Roman" w:hAnsi="Times New Roman" w:cs="Times New Roman"/>
          <w:szCs w:val="21"/>
        </w:rPr>
      </w:pPr>
    </w:p>
    <w:p>
      <w:pPr>
        <w:numPr>
          <w:ilvl w:val="0"/>
          <w:numId w:val="0"/>
        </w:numPr>
        <w:ind w:leftChars="0"/>
        <w:rPr>
          <w:rFonts w:hint="eastAsia" w:ascii="Times New Roman" w:hAnsi="Times New Roman" w:cs="Times New Roman"/>
          <w:b/>
          <w:bCs/>
          <w:sz w:val="24"/>
          <w:szCs w:val="24"/>
          <w:lang w:val="en-US" w:eastAsia="zh-CN"/>
        </w:rPr>
      </w:pPr>
      <w:r>
        <w:rPr>
          <w:rFonts w:hint="default" w:ascii="Times New Roman" w:hAnsi="Times New Roman" w:cs="Times New Roman"/>
          <w:b/>
          <w:bCs/>
          <w:sz w:val="24"/>
          <w:szCs w:val="24"/>
          <w:lang w:val="en-US" w:eastAsia="zh-CN"/>
        </w:rPr>
        <w:t xml:space="preserve">Stable RBBP4 </w:t>
      </w:r>
      <w:bookmarkStart w:id="0" w:name="_Hlk70511487"/>
      <w:r>
        <w:rPr>
          <w:rFonts w:hint="default" w:ascii="Times New Roman" w:hAnsi="Times New Roman" w:cs="Times New Roman"/>
          <w:b/>
          <w:bCs/>
          <w:sz w:val="24"/>
          <w:szCs w:val="24"/>
          <w:lang w:val="en-US" w:eastAsia="zh-CN"/>
        </w:rPr>
        <w:t>overexpression</w:t>
      </w:r>
      <w:bookmarkEnd w:id="0"/>
      <w:r>
        <w:rPr>
          <w:rFonts w:hint="default" w:ascii="Times New Roman" w:hAnsi="Times New Roman" w:cs="Times New Roman"/>
          <w:b/>
          <w:bCs/>
          <w:sz w:val="24"/>
          <w:szCs w:val="24"/>
          <w:lang w:val="en-US" w:eastAsia="zh-CN"/>
        </w:rPr>
        <w:t xml:space="preserve"> and knockdown</w:t>
      </w:r>
    </w:p>
    <w:p>
      <w:pPr>
        <w:rPr>
          <w:rFonts w:hint="default" w:ascii="Times New Roman" w:hAnsi="Times New Roman" w:cs="Times New Roman"/>
          <w:b/>
          <w:bCs/>
          <w:sz w:val="22"/>
          <w:szCs w:val="22"/>
        </w:rPr>
      </w:pPr>
      <w:r>
        <w:rPr>
          <w:rFonts w:hint="default" w:ascii="Times New Roman" w:hAnsi="Times New Roman" w:cs="Times New Roman"/>
          <w:b/>
          <w:bCs/>
          <w:sz w:val="22"/>
          <w:szCs w:val="22"/>
        </w:rPr>
        <w:t>Overexpression</w:t>
      </w:r>
    </w:p>
    <w:p>
      <w:pPr>
        <w:ind w:firstLine="440" w:firstLineChars="200"/>
        <w:rPr>
          <w:rFonts w:hint="default" w:ascii="Times New Roman" w:hAnsi="Times New Roman" w:cs="Times New Roman"/>
          <w:sz w:val="22"/>
          <w:szCs w:val="22"/>
        </w:rPr>
      </w:pPr>
      <w:r>
        <w:rPr>
          <w:rFonts w:hint="default" w:ascii="Times New Roman" w:hAnsi="Times New Roman" w:cs="Times New Roman"/>
          <w:sz w:val="22"/>
          <w:szCs w:val="22"/>
        </w:rPr>
        <w:t>LN229 Cells were prepared and infected with GFP negative control vector (</w:t>
      </w:r>
      <w:r>
        <w:rPr>
          <w:rFonts w:hint="default" w:ascii="Times New Roman" w:hAnsi="Times New Roman" w:cs="Times New Roman"/>
          <w:i/>
          <w:iCs/>
          <w:sz w:val="22"/>
          <w:szCs w:val="22"/>
        </w:rPr>
        <w:t>LV-NC</w:t>
      </w:r>
      <w:r>
        <w:rPr>
          <w:rFonts w:hint="default" w:ascii="Times New Roman" w:hAnsi="Times New Roman" w:cs="Times New Roman"/>
          <w:sz w:val="22"/>
          <w:szCs w:val="22"/>
        </w:rPr>
        <w:t>) and GFP vector overexpressing RBBP4 (</w:t>
      </w:r>
      <w:r>
        <w:rPr>
          <w:rFonts w:hint="default" w:ascii="Times New Roman" w:hAnsi="Times New Roman" w:cs="Times New Roman"/>
          <w:i/>
          <w:iCs/>
          <w:sz w:val="22"/>
          <w:szCs w:val="22"/>
        </w:rPr>
        <w:t>LV-RBBP4</w:t>
      </w:r>
      <w:r>
        <w:rPr>
          <w:rFonts w:hint="default" w:ascii="Times New Roman" w:hAnsi="Times New Roman" w:cs="Times New Roman"/>
          <w:sz w:val="22"/>
          <w:szCs w:val="22"/>
        </w:rPr>
        <w:t xml:space="preserve">) provided by GenePharma (Jiangsu, China). The primers, antibodies and sequences contained in the viruses are provided in the </w:t>
      </w:r>
      <w:r>
        <w:rPr>
          <w:rFonts w:hint="default" w:ascii="Times New Roman" w:hAnsi="Times New Roman" w:cs="Times New Roman"/>
          <w:b/>
          <w:bCs/>
          <w:sz w:val="22"/>
          <w:szCs w:val="22"/>
        </w:rPr>
        <w:t>Supplementa</w:t>
      </w:r>
      <w:r>
        <w:rPr>
          <w:rFonts w:hint="eastAsia" w:ascii="Times New Roman" w:hAnsi="Times New Roman" w:cs="Times New Roman"/>
          <w:b/>
          <w:bCs/>
          <w:sz w:val="22"/>
          <w:szCs w:val="22"/>
          <w:lang w:val="en-US" w:eastAsia="zh-CN"/>
        </w:rPr>
        <w:t>ry</w:t>
      </w:r>
      <w:r>
        <w:rPr>
          <w:rFonts w:hint="default" w:ascii="Times New Roman" w:hAnsi="Times New Roman" w:cs="Times New Roman"/>
          <w:b/>
          <w:bCs/>
          <w:sz w:val="22"/>
          <w:szCs w:val="22"/>
        </w:rPr>
        <w:t xml:space="preserve"> </w:t>
      </w:r>
      <w:r>
        <w:rPr>
          <w:rFonts w:hint="eastAsia" w:ascii="Times New Roman" w:hAnsi="Times New Roman" w:cs="Times New Roman"/>
          <w:b/>
          <w:bCs/>
          <w:sz w:val="22"/>
          <w:szCs w:val="22"/>
          <w:lang w:val="en-US" w:eastAsia="zh-CN"/>
        </w:rPr>
        <w:t>table</w:t>
      </w:r>
      <w:r>
        <w:rPr>
          <w:rFonts w:hint="default" w:ascii="Times New Roman" w:hAnsi="Times New Roman" w:cs="Times New Roman"/>
          <w:sz w:val="22"/>
          <w:szCs w:val="22"/>
        </w:rPr>
        <w:t xml:space="preserve"> available online.</w:t>
      </w:r>
    </w:p>
    <w:p>
      <w:pPr>
        <w:rPr>
          <w:rFonts w:hint="default" w:ascii="Times New Roman" w:hAnsi="Times New Roman" w:cs="Times New Roman"/>
          <w:b/>
          <w:bCs/>
          <w:sz w:val="22"/>
          <w:szCs w:val="22"/>
        </w:rPr>
      </w:pPr>
      <w:r>
        <w:rPr>
          <w:rFonts w:hint="default" w:ascii="Times New Roman" w:hAnsi="Times New Roman" w:cs="Times New Roman"/>
          <w:b/>
          <w:bCs/>
          <w:sz w:val="22"/>
          <w:szCs w:val="22"/>
        </w:rPr>
        <w:t>Knockdown</w:t>
      </w:r>
    </w:p>
    <w:p>
      <w:pPr>
        <w:ind w:firstLine="440" w:firstLineChars="200"/>
        <w:rPr>
          <w:rFonts w:ascii="Times New Roman" w:hAnsi="Times New Roman" w:cs="Times New Roman"/>
          <w:sz w:val="22"/>
          <w:szCs w:val="22"/>
        </w:rPr>
      </w:pPr>
      <w:r>
        <w:rPr>
          <w:rFonts w:hint="default" w:ascii="Times New Roman" w:hAnsi="Times New Roman" w:cs="Times New Roman"/>
          <w:sz w:val="22"/>
          <w:szCs w:val="22"/>
        </w:rPr>
        <w:t>U87MG Cells were infected with GFP sh-negative control vector (</w:t>
      </w:r>
      <w:r>
        <w:rPr>
          <w:rFonts w:hint="default" w:ascii="Times New Roman" w:hAnsi="Times New Roman" w:cs="Times New Roman"/>
          <w:i/>
          <w:iCs/>
          <w:sz w:val="22"/>
          <w:szCs w:val="22"/>
        </w:rPr>
        <w:t>LV-shNC</w:t>
      </w:r>
      <w:r>
        <w:rPr>
          <w:rFonts w:hint="default" w:ascii="Times New Roman" w:hAnsi="Times New Roman" w:cs="Times New Roman"/>
          <w:sz w:val="22"/>
          <w:szCs w:val="22"/>
        </w:rPr>
        <w:t>) and GFP vector shRBBP4 (</w:t>
      </w:r>
      <w:r>
        <w:rPr>
          <w:rFonts w:hint="default" w:ascii="Times New Roman" w:hAnsi="Times New Roman" w:cs="Times New Roman"/>
          <w:i/>
          <w:iCs/>
          <w:sz w:val="22"/>
          <w:szCs w:val="22"/>
        </w:rPr>
        <w:t>LV-shRBBP4</w:t>
      </w:r>
      <w:r>
        <w:rPr>
          <w:rFonts w:hint="default" w:ascii="Times New Roman" w:hAnsi="Times New Roman" w:cs="Times New Roman"/>
          <w:sz w:val="22"/>
          <w:szCs w:val="22"/>
        </w:rPr>
        <w:t xml:space="preserve">) provided by GenePharma (Jiangsu, China) via the same protocol as overexpression. </w:t>
      </w:r>
    </w:p>
    <w:p>
      <w:pPr>
        <w:ind w:firstLine="440" w:firstLineChars="200"/>
        <w:rPr>
          <w:rFonts w:ascii="Times New Roman" w:hAnsi="Times New Roman" w:cs="Times New Roman"/>
          <w:sz w:val="22"/>
          <w:szCs w:val="22"/>
        </w:rPr>
      </w:pPr>
      <w:r>
        <w:rPr>
          <w:rFonts w:hint="default" w:ascii="Times New Roman" w:hAnsi="Times New Roman" w:cs="Times New Roman"/>
          <w:sz w:val="22"/>
          <w:szCs w:val="22"/>
        </w:rPr>
        <w:t xml:space="preserve"> The RBBP4-overexpresion or knockdown colonies were detected by qRT-PCR and Western blotting. The primers, antibodies and sequences contained in the viruses are provided in the </w:t>
      </w:r>
      <w:r>
        <w:rPr>
          <w:rFonts w:hint="default" w:ascii="Times New Roman" w:hAnsi="Times New Roman" w:cs="Times New Roman"/>
          <w:b/>
          <w:bCs/>
          <w:sz w:val="22"/>
          <w:szCs w:val="22"/>
        </w:rPr>
        <w:t>Supplementa</w:t>
      </w:r>
      <w:r>
        <w:rPr>
          <w:rFonts w:hint="eastAsia" w:ascii="Times New Roman" w:hAnsi="Times New Roman" w:cs="Times New Roman"/>
          <w:b/>
          <w:bCs/>
          <w:sz w:val="22"/>
          <w:szCs w:val="22"/>
          <w:lang w:val="en-US" w:eastAsia="zh-CN"/>
        </w:rPr>
        <w:t>ry</w:t>
      </w:r>
      <w:r>
        <w:rPr>
          <w:rFonts w:hint="default" w:ascii="Times New Roman" w:hAnsi="Times New Roman" w:cs="Times New Roman"/>
          <w:b/>
          <w:bCs/>
          <w:sz w:val="22"/>
          <w:szCs w:val="22"/>
        </w:rPr>
        <w:t xml:space="preserve"> </w:t>
      </w:r>
      <w:r>
        <w:rPr>
          <w:rFonts w:hint="eastAsia" w:ascii="Times New Roman" w:hAnsi="Times New Roman" w:cs="Times New Roman"/>
          <w:b/>
          <w:bCs/>
          <w:sz w:val="22"/>
          <w:szCs w:val="22"/>
          <w:lang w:val="en-US" w:eastAsia="zh-CN"/>
        </w:rPr>
        <w:t>table</w:t>
      </w:r>
      <w:r>
        <w:rPr>
          <w:rFonts w:hint="default" w:ascii="Times New Roman" w:hAnsi="Times New Roman" w:cs="Times New Roman"/>
          <w:sz w:val="22"/>
          <w:szCs w:val="22"/>
        </w:rPr>
        <w:t xml:space="preserve"> available online.</w:t>
      </w:r>
    </w:p>
    <w:p>
      <w:pPr>
        <w:numPr>
          <w:ilvl w:val="0"/>
          <w:numId w:val="0"/>
        </w:numPr>
        <w:ind w:leftChars="0"/>
        <w:rPr>
          <w:rFonts w:hint="default" w:ascii="Times New Roman" w:hAnsi="Times New Roman" w:cs="Times New Roman" w:eastAsiaTheme="minorEastAsia"/>
          <w:b/>
          <w:bCs/>
          <w:sz w:val="24"/>
          <w:szCs w:val="24"/>
          <w:lang w:val="en-US" w:eastAsia="zh-CN"/>
        </w:rPr>
      </w:pPr>
    </w:p>
    <w:p>
      <w:pPr>
        <w:numPr>
          <w:ilvl w:val="0"/>
          <w:numId w:val="0"/>
        </w:numPr>
        <w:ind w:leftChars="0"/>
        <w:rPr>
          <w:rFonts w:hint="default" w:ascii="Times New Roman" w:hAnsi="Times New Roman" w:cs="Times New Roman"/>
          <w:b/>
          <w:bCs/>
          <w:sz w:val="24"/>
          <w:szCs w:val="24"/>
        </w:rPr>
      </w:pPr>
    </w:p>
    <w:p>
      <w:pPr>
        <w:numPr>
          <w:ilvl w:val="0"/>
          <w:numId w:val="0"/>
        </w:numPr>
        <w:ind w:leftChars="0"/>
        <w:rPr>
          <w:rFonts w:hint="default" w:ascii="Times New Roman" w:hAnsi="Times New Roman" w:cs="Times New Roman"/>
          <w:b/>
          <w:bCs/>
          <w:sz w:val="24"/>
          <w:szCs w:val="24"/>
        </w:rPr>
      </w:pPr>
    </w:p>
    <w:p>
      <w:pPr>
        <w:numPr>
          <w:ilvl w:val="0"/>
          <w:numId w:val="0"/>
        </w:numPr>
        <w:ind w:leftChars="0"/>
        <w:rPr>
          <w:rFonts w:hint="default" w:ascii="Times New Roman" w:hAnsi="Times New Roman" w:cs="Times New Roman"/>
          <w:b/>
          <w:bCs/>
          <w:sz w:val="24"/>
          <w:szCs w:val="24"/>
        </w:rPr>
      </w:pPr>
    </w:p>
    <w:p>
      <w:pPr>
        <w:numPr>
          <w:ilvl w:val="0"/>
          <w:numId w:val="0"/>
        </w:numPr>
        <w:rPr>
          <w:rFonts w:hint="default" w:ascii="Times New Roman" w:hAnsi="Times New Roman" w:cs="Times New Roman"/>
          <w:b/>
          <w:bCs/>
          <w:sz w:val="28"/>
          <w:szCs w:val="28"/>
          <w:lang w:val="en-US" w:eastAsia="zh-CN"/>
        </w:rPr>
      </w:pPr>
      <w:r>
        <w:rPr>
          <w:rFonts w:hint="default" w:ascii="Times New Roman" w:hAnsi="Times New Roman" w:cs="Times New Roman"/>
          <w:b/>
          <w:bCs/>
          <w:sz w:val="28"/>
          <w:szCs w:val="28"/>
          <w:lang w:val="en-US" w:eastAsia="zh-CN"/>
        </w:rPr>
        <w:t>RNA isolation and qRT-PCR</w:t>
      </w:r>
    </w:p>
    <w:p>
      <w:pPr>
        <w:numPr>
          <w:ilvl w:val="0"/>
          <w:numId w:val="0"/>
        </w:numPr>
        <w:ind w:leftChars="0" w:firstLine="440" w:firstLineChars="200"/>
        <w:rPr>
          <w:rFonts w:hint="default" w:ascii="Times New Roman" w:hAnsi="Times New Roman" w:cs="Times New Roman"/>
          <w:sz w:val="22"/>
          <w:szCs w:val="22"/>
          <w:lang w:val="en-US" w:eastAsia="zh-CN"/>
        </w:rPr>
      </w:pPr>
      <w:r>
        <w:rPr>
          <w:rFonts w:hint="eastAsia" w:ascii="Times New Roman" w:hAnsi="Times New Roman" w:cs="Times New Roman"/>
          <w:sz w:val="22"/>
          <w:szCs w:val="22"/>
          <w:lang w:val="en-US" w:eastAsia="zh-CN"/>
        </w:rPr>
        <w:t xml:space="preserve">Total RNA was extracted from transfected cells or tumor samples using TRIzol® (Takara,9109) according to the reagent instructions.Total RNA (1 µg) was reverse transcribed to cDNA </w:t>
      </w:r>
      <w:r>
        <w:rPr>
          <w:rFonts w:hint="default" w:ascii="Times New Roman" w:hAnsi="Times New Roman" w:cs="Times New Roman"/>
          <w:sz w:val="22"/>
          <w:szCs w:val="22"/>
          <w:lang w:val="en-US" w:eastAsia="zh-CN"/>
        </w:rPr>
        <w:t>using</w:t>
      </w:r>
      <w:r>
        <w:rPr>
          <w:rFonts w:hint="eastAsia" w:ascii="Times New Roman" w:hAnsi="Times New Roman" w:cs="Times New Roman"/>
          <w:sz w:val="22"/>
          <w:szCs w:val="22"/>
          <w:lang w:val="en-US" w:eastAsia="zh-CN"/>
        </w:rPr>
        <w:t xml:space="preserve"> the reverse transcription kit (RevertAid First Strand cDNA synthesis kit) (Thermo Fisher Scientific, </w:t>
      </w:r>
      <w:r>
        <w:rPr>
          <w:rFonts w:hint="default" w:ascii="Times New Roman" w:hAnsi="Times New Roman" w:cs="Times New Roman"/>
          <w:sz w:val="22"/>
          <w:szCs w:val="22"/>
          <w:lang w:val="en-US" w:eastAsia="zh-CN"/>
        </w:rPr>
        <w:t>k1622</w:t>
      </w:r>
      <w:r>
        <w:rPr>
          <w:rFonts w:hint="eastAsia" w:ascii="Times New Roman" w:hAnsi="Times New Roman" w:cs="Times New Roman"/>
          <w:sz w:val="22"/>
          <w:szCs w:val="22"/>
          <w:lang w:val="en-US" w:eastAsia="zh-CN"/>
        </w:rPr>
        <w:t xml:space="preserve">) and genomic DNA was also removed </w:t>
      </w:r>
      <w:r>
        <w:rPr>
          <w:rFonts w:hint="default" w:ascii="Times New Roman" w:hAnsi="Times New Roman" w:cs="Times New Roman"/>
          <w:sz w:val="22"/>
          <w:szCs w:val="22"/>
          <w:lang w:val="en-US" w:eastAsia="zh-CN"/>
        </w:rPr>
        <w:t>by</w:t>
      </w:r>
      <w:r>
        <w:rPr>
          <w:rFonts w:hint="eastAsia" w:ascii="Times New Roman" w:hAnsi="Times New Roman" w:cs="Times New Roman"/>
          <w:sz w:val="22"/>
          <w:szCs w:val="22"/>
          <w:lang w:val="en-US" w:eastAsia="zh-CN"/>
        </w:rPr>
        <w:t xml:space="preserve"> the gDNA Eraser from the kit</w:t>
      </w:r>
      <w:r>
        <w:rPr>
          <w:rFonts w:hint="default" w:ascii="Times New Roman" w:hAnsi="Times New Roman" w:cs="Times New Roman"/>
          <w:sz w:val="22"/>
          <w:szCs w:val="22"/>
          <w:lang w:val="en-US" w:eastAsia="zh-CN"/>
        </w:rPr>
        <w:t xml:space="preserve">. the threshold cycle (Ct) value of each sample was subsequently determined using </w:t>
      </w:r>
      <w:r>
        <w:rPr>
          <w:rFonts w:hint="eastAsia" w:ascii="Times New Roman" w:hAnsi="Times New Roman" w:cs="Times New Roman"/>
          <w:sz w:val="22"/>
          <w:szCs w:val="22"/>
          <w:lang w:val="en-US" w:eastAsia="zh-CN"/>
        </w:rPr>
        <w:t>SYBR Premix Ex Taq™ II Tli RNaseH Plus (TaKaRa, RR820A)</w:t>
      </w:r>
      <w:r>
        <w:rPr>
          <w:rFonts w:hint="default" w:ascii="Times New Roman" w:hAnsi="Times New Roman" w:cs="Times New Roman"/>
          <w:sz w:val="22"/>
          <w:szCs w:val="22"/>
          <w:lang w:val="en-US" w:eastAsia="zh-CN"/>
        </w:rPr>
        <w:t xml:space="preserve"> on a StepOne™ Real-Time PCR system (Applied Biosystems; Thermo Fisher Scientific, Inc.).The relative expression levels of lncRNA were quantified using the 2−ΔΔCt method and normalized to GAPDH, which served as the endogenous control.All the primers used were shown in </w:t>
      </w:r>
      <w:r>
        <w:rPr>
          <w:rFonts w:hint="default" w:ascii="Times New Roman" w:hAnsi="Times New Roman" w:cs="Times New Roman"/>
          <w:b/>
          <w:bCs/>
          <w:sz w:val="22"/>
          <w:szCs w:val="22"/>
        </w:rPr>
        <w:t>Supplementa</w:t>
      </w:r>
      <w:r>
        <w:rPr>
          <w:rFonts w:hint="eastAsia" w:ascii="Times New Roman" w:hAnsi="Times New Roman" w:cs="Times New Roman"/>
          <w:b/>
          <w:bCs/>
          <w:sz w:val="22"/>
          <w:szCs w:val="22"/>
          <w:lang w:val="en-US" w:eastAsia="zh-CN"/>
        </w:rPr>
        <w:t>ry</w:t>
      </w:r>
      <w:r>
        <w:rPr>
          <w:rFonts w:hint="default" w:ascii="Times New Roman" w:hAnsi="Times New Roman" w:cs="Times New Roman"/>
          <w:b/>
          <w:bCs/>
          <w:sz w:val="22"/>
          <w:szCs w:val="22"/>
        </w:rPr>
        <w:t xml:space="preserve"> </w:t>
      </w:r>
      <w:r>
        <w:rPr>
          <w:rFonts w:hint="eastAsia" w:ascii="Times New Roman" w:hAnsi="Times New Roman" w:cs="Times New Roman"/>
          <w:b/>
          <w:bCs/>
          <w:sz w:val="22"/>
          <w:szCs w:val="22"/>
          <w:lang w:val="en-US" w:eastAsia="zh-CN"/>
        </w:rPr>
        <w:t>table</w:t>
      </w:r>
      <w:r>
        <w:rPr>
          <w:rFonts w:hint="default" w:ascii="Times New Roman" w:hAnsi="Times New Roman" w:cs="Times New Roman"/>
          <w:sz w:val="22"/>
          <w:szCs w:val="22"/>
          <w:lang w:val="en-US" w:eastAsia="zh-CN"/>
        </w:rPr>
        <w:t>.</w:t>
      </w:r>
    </w:p>
    <w:p>
      <w:pPr>
        <w:numPr>
          <w:ilvl w:val="0"/>
          <w:numId w:val="0"/>
        </w:numPr>
        <w:ind w:leftChars="0" w:firstLine="440" w:firstLineChars="200"/>
        <w:rPr>
          <w:rFonts w:hint="default" w:ascii="Times New Roman" w:hAnsi="Times New Roman" w:cs="Times New Roman"/>
          <w:sz w:val="22"/>
          <w:szCs w:val="22"/>
          <w:lang w:val="en-US" w:eastAsia="zh-CN"/>
        </w:rPr>
      </w:pPr>
    </w:p>
    <w:p>
      <w:pPr>
        <w:numPr>
          <w:ilvl w:val="0"/>
          <w:numId w:val="0"/>
        </w:numPr>
        <w:rPr>
          <w:rFonts w:hint="eastAsia" w:ascii="Times New Roman" w:hAnsi="Times New Roman" w:cs="Times New Roman"/>
          <w:b/>
          <w:bCs/>
          <w:sz w:val="28"/>
          <w:szCs w:val="28"/>
          <w:lang w:val="en-US" w:eastAsia="zh-CN"/>
        </w:rPr>
      </w:pPr>
      <w:r>
        <w:rPr>
          <w:rFonts w:hint="eastAsia" w:ascii="Times New Roman" w:hAnsi="Times New Roman" w:cs="Times New Roman"/>
          <w:b/>
          <w:bCs/>
          <w:sz w:val="28"/>
          <w:szCs w:val="28"/>
          <w:lang w:val="en-US" w:eastAsia="zh-CN"/>
        </w:rPr>
        <w:t>Western blotting</w:t>
      </w:r>
    </w:p>
    <w:p>
      <w:pPr>
        <w:numPr>
          <w:ilvl w:val="0"/>
          <w:numId w:val="0"/>
        </w:numPr>
        <w:ind w:leftChars="0" w:firstLine="440" w:firstLineChars="200"/>
        <w:rPr>
          <w:rFonts w:hint="default" w:ascii="Times New Roman" w:hAnsi="Times New Roman" w:cs="Times New Roman"/>
          <w:sz w:val="22"/>
          <w:szCs w:val="22"/>
          <w:lang w:val="en-US" w:eastAsia="zh-CN"/>
        </w:rPr>
      </w:pPr>
      <w:r>
        <w:rPr>
          <w:rFonts w:hint="eastAsia" w:ascii="Times New Roman" w:hAnsi="Times New Roman" w:cs="Times New Roman"/>
          <w:sz w:val="22"/>
          <w:szCs w:val="22"/>
          <w:lang w:val="en-US" w:eastAsia="zh-CN"/>
        </w:rPr>
        <w:t>The cells were harvested and the total protein was extracted using RIPA lysis buffer (Sigma, R0278) with Combined Protease and Phosphatase Inhibitors</w:t>
      </w:r>
      <w:r>
        <w:rPr>
          <w:rFonts w:hint="default" w:ascii="Times New Roman" w:hAnsi="Times New Roman" w:cs="Times New Roman"/>
          <w:sz w:val="22"/>
          <w:szCs w:val="22"/>
          <w:lang w:eastAsia="zh-CN"/>
        </w:rPr>
        <w:t xml:space="preserve"> </w:t>
      </w:r>
      <w:r>
        <w:rPr>
          <w:rFonts w:hint="eastAsia" w:ascii="Times New Roman" w:hAnsi="Times New Roman" w:cs="Times New Roman"/>
          <w:sz w:val="22"/>
          <w:szCs w:val="22"/>
          <w:lang w:val="en-US" w:eastAsia="zh-CN"/>
        </w:rPr>
        <w:t>(Thermo Fisher Scientific,</w:t>
      </w:r>
      <w:bookmarkStart w:id="1" w:name="OLE_LINK1"/>
      <w:r>
        <w:rPr>
          <w:rFonts w:hint="eastAsia" w:ascii="Times New Roman" w:hAnsi="Times New Roman" w:cs="Times New Roman"/>
          <w:sz w:val="22"/>
          <w:szCs w:val="22"/>
          <w:lang w:val="en-US" w:eastAsia="zh-CN"/>
        </w:rPr>
        <w:t>78440</w:t>
      </w:r>
      <w:bookmarkEnd w:id="1"/>
      <w:r>
        <w:rPr>
          <w:rFonts w:hint="eastAsia" w:ascii="Times New Roman" w:hAnsi="Times New Roman" w:cs="Times New Roman"/>
          <w:sz w:val="22"/>
          <w:szCs w:val="22"/>
          <w:lang w:val="en-US" w:eastAsia="zh-CN"/>
        </w:rPr>
        <w:t>) and protein concentrations were determined using a Enhanced BCA Protein Assay Kit(Beyotime Biotechnology,</w:t>
      </w:r>
      <w:r>
        <w:rPr>
          <w:rFonts w:hint="default" w:ascii="Times New Roman" w:hAnsi="Times New Roman" w:cs="Times New Roman"/>
          <w:sz w:val="22"/>
          <w:szCs w:val="22"/>
          <w:lang w:eastAsia="zh-CN"/>
        </w:rPr>
        <w:t>P0010</w:t>
      </w:r>
      <w:r>
        <w:rPr>
          <w:rFonts w:hint="default" w:ascii="Times New Roman" w:hAnsi="Times New Roman" w:cs="Times New Roman"/>
          <w:sz w:val="22"/>
          <w:szCs w:val="22"/>
          <w:lang w:val="en-US" w:eastAsia="zh-CN"/>
        </w:rPr>
        <w:t>).</w:t>
      </w:r>
      <w:r>
        <w:rPr>
          <w:rFonts w:hint="eastAsia" w:ascii="Times New Roman" w:hAnsi="Times New Roman" w:cs="Times New Roman"/>
          <w:sz w:val="22"/>
          <w:szCs w:val="22"/>
          <w:lang w:val="en-US" w:eastAsia="zh-CN"/>
        </w:rPr>
        <w:t xml:space="preserve"> Subse</w:t>
      </w:r>
      <w:r>
        <w:rPr>
          <w:rFonts w:hint="default" w:ascii="Times New Roman" w:hAnsi="Times New Roman" w:cs="Times New Roman"/>
          <w:sz w:val="22"/>
          <w:szCs w:val="22"/>
          <w:lang w:val="en-US" w:eastAsia="zh-CN"/>
        </w:rPr>
        <w:t>quently, equal amounts of protein samples (40μg）were subjected to SDS-PAGE on 8% gels electrophoresis and electrotransferred to PVDF membranes.After blocking with</w:t>
      </w:r>
      <w:r>
        <w:rPr>
          <w:rFonts w:hint="eastAsia" w:ascii="Times New Roman" w:hAnsi="Times New Roman" w:cs="Times New Roman"/>
          <w:sz w:val="22"/>
          <w:szCs w:val="22"/>
          <w:lang w:val="en-US" w:eastAsia="zh-CN"/>
        </w:rPr>
        <w:t xml:space="preserve"> </w:t>
      </w:r>
      <w:r>
        <w:rPr>
          <w:rFonts w:hint="default" w:ascii="Times New Roman" w:hAnsi="Times New Roman" w:cs="Times New Roman"/>
          <w:sz w:val="22"/>
          <w:szCs w:val="22"/>
          <w:lang w:val="en-US" w:eastAsia="zh-CN"/>
        </w:rPr>
        <w:t xml:space="preserve">0.02 M TBS containing 5% BSA </w:t>
      </w:r>
      <w:r>
        <w:rPr>
          <w:rFonts w:hint="default" w:ascii="Times New Roman" w:hAnsi="Times New Roman" w:cs="Times New Roman"/>
          <w:sz w:val="22"/>
          <w:szCs w:val="22"/>
          <w:lang w:eastAsia="zh-CN"/>
        </w:rPr>
        <w:t>(solarbio life sciences,A8020</w:t>
      </w:r>
      <w:r>
        <w:rPr>
          <w:rFonts w:hint="default" w:ascii="Times New Roman" w:hAnsi="Times New Roman" w:cs="Times New Roman"/>
          <w:sz w:val="22"/>
          <w:szCs w:val="22"/>
          <w:lang w:val="en-US" w:eastAsia="zh-CN"/>
        </w:rPr>
        <w:t xml:space="preserve">) and 0.1% Tween-20 for 1 h at room temperature，the membranes were incubated with primary antibodies at 4 °C overnight and </w:t>
      </w:r>
      <w:r>
        <w:rPr>
          <w:rFonts w:hint="eastAsia" w:ascii="Times New Roman" w:hAnsi="Times New Roman" w:cs="Times New Roman"/>
          <w:sz w:val="22"/>
          <w:szCs w:val="22"/>
          <w:lang w:val="en-US" w:eastAsia="zh-CN"/>
        </w:rPr>
        <w:t>the HRP-linked secondary antibody for 2h at room temperature</w:t>
      </w:r>
      <w:r>
        <w:rPr>
          <w:rFonts w:hint="default" w:ascii="Times New Roman" w:hAnsi="Times New Roman" w:cs="Times New Roman"/>
          <w:sz w:val="22"/>
          <w:szCs w:val="22"/>
          <w:lang w:val="en-US" w:eastAsia="zh-CN"/>
        </w:rPr>
        <w:t xml:space="preserve">. Finally, the band intensity were quantified using </w:t>
      </w:r>
      <w:r>
        <w:rPr>
          <w:rFonts w:hint="eastAsia" w:ascii="Times New Roman" w:hAnsi="Times New Roman" w:cs="Times New Roman"/>
          <w:sz w:val="22"/>
          <w:szCs w:val="22"/>
          <w:lang w:val="en-US" w:eastAsia="zh-CN"/>
        </w:rPr>
        <w:t>the Tanon-5500 Chemiluminescent Imaging System (Tanon Science &amp; Technology; Shanghai, China)</w:t>
      </w:r>
      <w:r>
        <w:rPr>
          <w:rFonts w:hint="default" w:ascii="Times New Roman" w:hAnsi="Times New Roman" w:cs="Times New Roman"/>
          <w:sz w:val="22"/>
          <w:szCs w:val="22"/>
          <w:lang w:val="en-US" w:eastAsia="zh-CN"/>
        </w:rPr>
        <w:t xml:space="preserve">. GAPDH was used as the loading control. All the antibodies used were shown in </w:t>
      </w:r>
      <w:r>
        <w:rPr>
          <w:rFonts w:hint="default" w:ascii="Times New Roman" w:hAnsi="Times New Roman" w:cs="Times New Roman"/>
          <w:b/>
          <w:bCs/>
          <w:sz w:val="22"/>
          <w:szCs w:val="22"/>
        </w:rPr>
        <w:t>Supplementa</w:t>
      </w:r>
      <w:r>
        <w:rPr>
          <w:rFonts w:hint="eastAsia" w:ascii="Times New Roman" w:hAnsi="Times New Roman" w:cs="Times New Roman"/>
          <w:b/>
          <w:bCs/>
          <w:sz w:val="22"/>
          <w:szCs w:val="22"/>
          <w:lang w:val="en-US" w:eastAsia="zh-CN"/>
        </w:rPr>
        <w:t>ry</w:t>
      </w:r>
      <w:r>
        <w:rPr>
          <w:rFonts w:hint="default" w:ascii="Times New Roman" w:hAnsi="Times New Roman" w:cs="Times New Roman"/>
          <w:b/>
          <w:bCs/>
          <w:sz w:val="22"/>
          <w:szCs w:val="22"/>
        </w:rPr>
        <w:t xml:space="preserve"> </w:t>
      </w:r>
      <w:r>
        <w:rPr>
          <w:rFonts w:hint="eastAsia" w:ascii="Times New Roman" w:hAnsi="Times New Roman" w:cs="Times New Roman"/>
          <w:b/>
          <w:bCs/>
          <w:sz w:val="22"/>
          <w:szCs w:val="22"/>
          <w:lang w:val="en-US" w:eastAsia="zh-CN"/>
        </w:rPr>
        <w:t>table</w:t>
      </w:r>
      <w:r>
        <w:rPr>
          <w:rFonts w:hint="default" w:ascii="Times New Roman" w:hAnsi="Times New Roman" w:cs="Times New Roman"/>
          <w:sz w:val="22"/>
          <w:szCs w:val="22"/>
          <w:lang w:val="en-US" w:eastAsia="zh-CN"/>
        </w:rPr>
        <w:t>.</w:t>
      </w:r>
    </w:p>
    <w:p>
      <w:pPr>
        <w:numPr>
          <w:ilvl w:val="0"/>
          <w:numId w:val="0"/>
        </w:numPr>
        <w:ind w:leftChars="0" w:firstLine="420" w:firstLineChars="200"/>
        <w:rPr>
          <w:rFonts w:hint="eastAsia" w:ascii="Times New Roman" w:hAnsi="Times New Roman" w:cs="Times New Roman"/>
          <w:color w:val="231F20"/>
          <w:szCs w:val="21"/>
          <w:lang w:val="en-US" w:eastAsia="zh-CN"/>
        </w:rPr>
      </w:pPr>
    </w:p>
    <w:p>
      <w:pPr>
        <w:numPr>
          <w:ilvl w:val="0"/>
          <w:numId w:val="0"/>
        </w:numPr>
        <w:rPr>
          <w:rFonts w:hint="default" w:ascii="Times New Roman" w:hAnsi="Times New Roman" w:cs="Times New Roman"/>
          <w:b/>
          <w:bCs/>
          <w:sz w:val="28"/>
          <w:szCs w:val="28"/>
          <w:lang w:val="en-US" w:eastAsia="zh-CN"/>
        </w:rPr>
      </w:pPr>
      <w:r>
        <w:rPr>
          <w:rFonts w:hint="default" w:ascii="Times New Roman" w:hAnsi="Times New Roman" w:cs="Times New Roman"/>
          <w:b/>
          <w:bCs/>
          <w:sz w:val="28"/>
          <w:szCs w:val="28"/>
          <w:lang w:val="en-US" w:eastAsia="zh-CN"/>
        </w:rPr>
        <w:t>Cell Counting Kit-8</w:t>
      </w:r>
    </w:p>
    <w:p>
      <w:pPr>
        <w:numPr>
          <w:ilvl w:val="0"/>
          <w:numId w:val="0"/>
        </w:numPr>
        <w:ind w:leftChars="0" w:firstLine="440" w:firstLineChars="200"/>
        <w:rPr>
          <w:rFonts w:hint="default" w:ascii="Times New Roman" w:hAnsi="Times New Roman" w:cs="Times New Roman"/>
          <w:sz w:val="22"/>
          <w:szCs w:val="22"/>
        </w:rPr>
      </w:pPr>
      <w:r>
        <w:rPr>
          <w:rFonts w:hint="default" w:ascii="Times New Roman" w:hAnsi="Times New Roman" w:cs="Times New Roman"/>
          <w:sz w:val="22"/>
          <w:szCs w:val="22"/>
        </w:rPr>
        <w:t>Cells were seeded into 96-well plates and treated under the indicated conditions. The Cell Counting Kit-8 (CCK-8, Bimake, B34302, Houston, TX, USA) was used to calculate the number of viable cells by measuring the absorbance at 450 nm using the BMG Microplate reader (BMG Labtech, CLARIOstar; Cary, NC, USA) at set intervals.</w:t>
      </w:r>
    </w:p>
    <w:p>
      <w:pPr>
        <w:numPr>
          <w:ilvl w:val="0"/>
          <w:numId w:val="0"/>
        </w:numPr>
        <w:ind w:leftChars="0" w:firstLine="420" w:firstLineChars="200"/>
        <w:rPr>
          <w:rFonts w:hint="default" w:ascii="Times New Roman" w:hAnsi="Times New Roman" w:cs="Times New Roman"/>
          <w:szCs w:val="21"/>
        </w:rPr>
      </w:pPr>
    </w:p>
    <w:p>
      <w:pPr>
        <w:numPr>
          <w:ilvl w:val="0"/>
          <w:numId w:val="0"/>
        </w:numPr>
        <w:rPr>
          <w:rFonts w:hint="default" w:ascii="Times New Roman" w:hAnsi="Times New Roman" w:cs="Times New Roman"/>
          <w:b/>
          <w:bCs/>
          <w:sz w:val="28"/>
          <w:szCs w:val="28"/>
          <w:lang w:val="en-US" w:eastAsia="zh-CN"/>
        </w:rPr>
      </w:pPr>
      <w:r>
        <w:rPr>
          <w:rFonts w:hint="default" w:ascii="Times New Roman" w:hAnsi="Times New Roman" w:cs="Times New Roman"/>
          <w:b/>
          <w:bCs/>
          <w:sz w:val="28"/>
          <w:szCs w:val="28"/>
          <w:lang w:val="en-US" w:eastAsia="zh-CN"/>
        </w:rPr>
        <w:t>EdU</w:t>
      </w:r>
    </w:p>
    <w:p>
      <w:pPr>
        <w:numPr>
          <w:ilvl w:val="0"/>
          <w:numId w:val="0"/>
        </w:numPr>
        <w:ind w:leftChars="0" w:firstLine="440" w:firstLineChars="200"/>
        <w:rPr>
          <w:rFonts w:hint="default" w:ascii="Times New Roman" w:hAnsi="Times New Roman" w:cs="Times New Roman"/>
          <w:sz w:val="22"/>
          <w:szCs w:val="22"/>
        </w:rPr>
      </w:pPr>
      <w:r>
        <w:rPr>
          <w:rFonts w:hint="default" w:ascii="Times New Roman" w:hAnsi="Times New Roman" w:cs="Times New Roman"/>
          <w:sz w:val="22"/>
          <w:szCs w:val="22"/>
        </w:rPr>
        <w:t xml:space="preserve">Cells were grown on glass coverslips in 6-well plates with corresponding treatment, at end of the treatment, cells were treated with </w:t>
      </w:r>
      <w:bookmarkStart w:id="2" w:name="OLE_LINK2"/>
      <w:r>
        <w:rPr>
          <w:rFonts w:hint="default" w:ascii="Times New Roman" w:hAnsi="Times New Roman" w:cs="Times New Roman"/>
          <w:sz w:val="22"/>
          <w:szCs w:val="22"/>
        </w:rPr>
        <w:t>EdU</w:t>
      </w:r>
      <w:bookmarkEnd w:id="2"/>
      <w:r>
        <w:rPr>
          <w:rFonts w:hint="default" w:ascii="Times New Roman" w:hAnsi="Times New Roman" w:cs="Times New Roman"/>
          <w:sz w:val="22"/>
          <w:szCs w:val="22"/>
        </w:rPr>
        <w:t xml:space="preserve"> reagent (RiboBio, Cat# C10310-1, Guangzhou, China) as the manufacturer’s instructions. Finally, cells were visualized using a BX63 automatic intelligent fluorescence microscope (Olympus, Tokyo, Japan).</w:t>
      </w:r>
    </w:p>
    <w:p>
      <w:pPr>
        <w:ind w:firstLine="420" w:firstLineChars="200"/>
        <w:rPr>
          <w:rFonts w:hint="default" w:ascii="Times New Roman" w:hAnsi="Times New Roman" w:cs="Times New Roman"/>
          <w:szCs w:val="21"/>
          <w:lang w:val="en-US" w:eastAsia="zh-CN"/>
        </w:rPr>
      </w:pPr>
    </w:p>
    <w:p>
      <w:pPr>
        <w:numPr>
          <w:ilvl w:val="0"/>
          <w:numId w:val="0"/>
        </w:numPr>
        <w:rPr>
          <w:rFonts w:hint="default" w:ascii="Times New Roman" w:hAnsi="Times New Roman" w:cs="Times New Roman"/>
          <w:b/>
          <w:bCs/>
          <w:sz w:val="28"/>
          <w:szCs w:val="28"/>
          <w:lang w:val="en-US" w:eastAsia="zh-CN"/>
        </w:rPr>
      </w:pPr>
      <w:r>
        <w:rPr>
          <w:rFonts w:hint="default" w:ascii="Times New Roman" w:hAnsi="Times New Roman" w:cs="Times New Roman"/>
          <w:b/>
          <w:bCs/>
          <w:sz w:val="28"/>
          <w:szCs w:val="28"/>
          <w:lang w:val="en-US" w:eastAsia="zh-CN"/>
        </w:rPr>
        <w:t>Colony-formation</w:t>
      </w:r>
    </w:p>
    <w:p>
      <w:pPr>
        <w:numPr>
          <w:ilvl w:val="0"/>
          <w:numId w:val="0"/>
        </w:numPr>
        <w:ind w:leftChars="0" w:firstLine="440" w:firstLineChars="200"/>
        <w:rPr>
          <w:rFonts w:hint="default" w:ascii="Times New Roman" w:hAnsi="Times New Roman" w:cs="Times New Roman"/>
          <w:sz w:val="22"/>
          <w:szCs w:val="22"/>
        </w:rPr>
      </w:pPr>
      <w:r>
        <w:rPr>
          <w:rFonts w:hint="default" w:ascii="Times New Roman" w:hAnsi="Times New Roman" w:cs="Times New Roman"/>
          <w:sz w:val="22"/>
          <w:szCs w:val="22"/>
        </w:rPr>
        <w:t>Cells (300 cells/well) were seeded into 6-well plates and cultured under the indicated conditions for 14 days at 37 ℃and 5% CO2.During the 14 days of incubation, medium was renewed every third day. Prior to GIEMSA staining, cells were fixed in paraformaldehyde (4%, 30–60 min). Colonies were then stained with 0.1% crystal violet (</w:t>
      </w:r>
      <w:bookmarkStart w:id="3" w:name="OLE_LINK3"/>
      <w:r>
        <w:rPr>
          <w:rFonts w:hint="default" w:ascii="Times New Roman" w:hAnsi="Times New Roman" w:cs="Times New Roman"/>
          <w:sz w:val="22"/>
          <w:szCs w:val="22"/>
        </w:rPr>
        <w:t>Sigma-Aldrich</w:t>
      </w:r>
      <w:bookmarkEnd w:id="3"/>
      <w:r>
        <w:rPr>
          <w:rFonts w:hint="eastAsia" w:ascii="Times New Roman" w:hAnsi="Times New Roman" w:cs="Times New Roman"/>
          <w:sz w:val="22"/>
          <w:szCs w:val="22"/>
          <w:lang w:val="en-US" w:eastAsia="zh-CN"/>
        </w:rPr>
        <w:t>,C3886,USA</w:t>
      </w:r>
      <w:r>
        <w:rPr>
          <w:rFonts w:hint="default" w:ascii="Times New Roman" w:hAnsi="Times New Roman" w:cs="Times New Roman"/>
          <w:sz w:val="22"/>
          <w:szCs w:val="22"/>
        </w:rPr>
        <w:t>) and counted. Microscopic images (BX63, Olympus, Japan) of stained cells were taken, and colony numbers were counted.For each set of clones, three independent assays were carried out.</w:t>
      </w:r>
    </w:p>
    <w:p>
      <w:pPr>
        <w:ind w:firstLine="420" w:firstLineChars="200"/>
        <w:rPr>
          <w:rFonts w:hint="default" w:ascii="Times New Roman" w:hAnsi="Times New Roman" w:cs="Times New Roman"/>
          <w:szCs w:val="21"/>
          <w:lang w:val="en-US" w:eastAsia="zh-CN"/>
        </w:rPr>
      </w:pPr>
    </w:p>
    <w:p>
      <w:pPr>
        <w:numPr>
          <w:ilvl w:val="0"/>
          <w:numId w:val="0"/>
        </w:numPr>
        <w:rPr>
          <w:rFonts w:hint="default" w:ascii="Times New Roman" w:hAnsi="Times New Roman" w:cs="Times New Roman"/>
          <w:b/>
          <w:bCs/>
          <w:sz w:val="28"/>
          <w:szCs w:val="28"/>
          <w:lang w:val="en-US" w:eastAsia="zh-CN"/>
        </w:rPr>
      </w:pPr>
      <w:r>
        <w:rPr>
          <w:rFonts w:hint="default" w:ascii="Times New Roman" w:hAnsi="Times New Roman" w:cs="Times New Roman"/>
          <w:b/>
          <w:bCs/>
          <w:sz w:val="28"/>
          <w:szCs w:val="28"/>
          <w:lang w:val="en-US" w:eastAsia="zh-CN"/>
        </w:rPr>
        <w:t>Cell apoptosis assays</w:t>
      </w:r>
    </w:p>
    <w:p>
      <w:pPr>
        <w:numPr>
          <w:ilvl w:val="0"/>
          <w:numId w:val="0"/>
        </w:numPr>
        <w:ind w:leftChars="0" w:firstLine="440" w:firstLineChars="200"/>
        <w:rPr>
          <w:rFonts w:hint="default" w:ascii="Times New Roman" w:hAnsi="Times New Roman" w:cs="Times New Roman"/>
          <w:sz w:val="22"/>
          <w:szCs w:val="22"/>
        </w:rPr>
      </w:pPr>
      <w:r>
        <w:rPr>
          <w:rFonts w:hint="default" w:ascii="Times New Roman" w:hAnsi="Times New Roman" w:cs="Times New Roman"/>
          <w:sz w:val="22"/>
          <w:szCs w:val="22"/>
        </w:rPr>
        <w:t>Cell apoptosis was assessed after associated transfection and treated under the indicated conditions. Then, cells were harvested and stained with propidium iodide (PI) and annexin V-fluorescein isothiocyanate (FITC) for apoptotic analysis using the ApopNexin FITC Apoptosis Detection Kit (BD Biosciences, 559763</w:t>
      </w:r>
      <w:r>
        <w:rPr>
          <w:rFonts w:hint="eastAsia" w:ascii="Times New Roman" w:hAnsi="Times New Roman" w:cs="Times New Roman"/>
          <w:sz w:val="22"/>
          <w:szCs w:val="22"/>
          <w:lang w:val="en-US" w:eastAsia="zh-CN"/>
        </w:rPr>
        <w:t xml:space="preserve">, </w:t>
      </w:r>
      <w:r>
        <w:rPr>
          <w:rFonts w:hint="default" w:ascii="Times New Roman" w:hAnsi="Times New Roman" w:cs="Times New Roman"/>
          <w:sz w:val="22"/>
          <w:szCs w:val="22"/>
        </w:rPr>
        <w:t>San Diego, CA, USA) according to manufacturer instructions. The analysis of the apoptosis rate (%) was performed by flow cytometry (BD Biosciences, San Diego, CA, USA). The percentage of apoptotic cells was calculated as the sum of early and late apoptotic cells located in the lower and upper right quadrants, respectively.</w:t>
      </w:r>
    </w:p>
    <w:p>
      <w:pPr>
        <w:rPr>
          <w:rFonts w:hint="default" w:ascii="Times New Roman" w:hAnsi="Times New Roman" w:cs="Times New Roman"/>
          <w:szCs w:val="21"/>
        </w:rPr>
      </w:pPr>
    </w:p>
    <w:p>
      <w:pPr>
        <w:numPr>
          <w:ilvl w:val="0"/>
          <w:numId w:val="0"/>
        </w:numPr>
        <w:rPr>
          <w:rFonts w:hint="default" w:ascii="Times New Roman" w:hAnsi="Times New Roman" w:cs="Times New Roman"/>
          <w:b/>
          <w:bCs/>
          <w:sz w:val="28"/>
          <w:szCs w:val="28"/>
          <w:lang w:val="en-US" w:eastAsia="zh-CN"/>
        </w:rPr>
      </w:pPr>
      <w:r>
        <w:rPr>
          <w:rFonts w:hint="default" w:ascii="Times New Roman" w:hAnsi="Times New Roman" w:cs="Times New Roman"/>
          <w:b/>
          <w:bCs/>
          <w:sz w:val="28"/>
          <w:szCs w:val="28"/>
          <w:lang w:val="en-US" w:eastAsia="zh-CN"/>
        </w:rPr>
        <w:t>Cell cycle assays</w:t>
      </w:r>
    </w:p>
    <w:p>
      <w:pPr>
        <w:numPr>
          <w:ilvl w:val="0"/>
          <w:numId w:val="0"/>
        </w:numPr>
        <w:ind w:leftChars="0" w:firstLine="440" w:firstLineChars="200"/>
        <w:rPr>
          <w:rFonts w:hint="default" w:ascii="Times New Roman" w:hAnsi="Times New Roman" w:cs="Times New Roman"/>
          <w:sz w:val="22"/>
          <w:szCs w:val="22"/>
        </w:rPr>
      </w:pPr>
      <w:r>
        <w:rPr>
          <w:rFonts w:hint="default" w:ascii="Times New Roman" w:hAnsi="Times New Roman" w:cs="Times New Roman"/>
          <w:sz w:val="22"/>
          <w:szCs w:val="22"/>
        </w:rPr>
        <w:t>For cell cycle analysis, cells were seeded in 60-mm dishes and cultured in DMEM medium without fetal bovine serum to synchronize cycles for 24 h. After been treated with the indicated conditions, cells were harvested and prepared as follows. Following 30 min RNA digestion with 0.1 mg/mL RNase in PBS, they were stained with propidium iodide (PI). The analysis of cell cycle was performed by flow cytometry (BD Biosciences, San Diego, CA, USA). Each experiment was performed in triplicate, mean values ± SD are shown.</w:t>
      </w:r>
    </w:p>
    <w:p>
      <w:pPr>
        <w:numPr>
          <w:ilvl w:val="0"/>
          <w:numId w:val="0"/>
        </w:numPr>
        <w:ind w:leftChars="0" w:firstLine="440" w:firstLineChars="200"/>
        <w:rPr>
          <w:rFonts w:hint="default" w:ascii="Times New Roman" w:hAnsi="Times New Roman" w:cs="Times New Roman"/>
          <w:sz w:val="22"/>
          <w:szCs w:val="22"/>
        </w:rPr>
      </w:pPr>
    </w:p>
    <w:p>
      <w:pPr>
        <w:numPr>
          <w:ilvl w:val="0"/>
          <w:numId w:val="0"/>
        </w:numPr>
        <w:rPr>
          <w:rFonts w:hint="default" w:ascii="Times New Roman" w:hAnsi="Times New Roman" w:cs="Times New Roman"/>
          <w:sz w:val="22"/>
          <w:szCs w:val="22"/>
        </w:rPr>
      </w:pPr>
      <w:r>
        <w:rPr>
          <w:rFonts w:hint="default" w:ascii="Times New Roman" w:hAnsi="Times New Roman" w:cs="Times New Roman"/>
          <w:b/>
          <w:bCs/>
          <w:sz w:val="28"/>
          <w:szCs w:val="28"/>
          <w:lang w:val="en-US" w:eastAsia="zh-CN"/>
        </w:rPr>
        <w:t>Chemoradiotherapy</w:t>
      </w:r>
    </w:p>
    <w:p>
      <w:pPr>
        <w:numPr>
          <w:ilvl w:val="0"/>
          <w:numId w:val="0"/>
        </w:numPr>
        <w:ind w:leftChars="0" w:firstLine="440" w:firstLineChars="200"/>
        <w:rPr>
          <w:rFonts w:hint="eastAsia" w:ascii="Times New Roman" w:hAnsi="Times New Roman" w:cs="Times New Roman"/>
          <w:sz w:val="22"/>
          <w:szCs w:val="22"/>
        </w:rPr>
      </w:pPr>
      <w:r>
        <w:rPr>
          <w:rFonts w:hint="eastAsia" w:ascii="Times New Roman" w:hAnsi="Times New Roman" w:cs="Times New Roman"/>
          <w:sz w:val="22"/>
          <w:szCs w:val="22"/>
        </w:rPr>
        <w:t>TMZ (3-methyl-4-oxo-8-imidazolo [5,1-d] [1,2,3,5] tetrazinecarboxamide)was obtained from Sigma-Aldrich Chemical Co. (Sigma, T2577) and was dissolved in dimethyl sulfoxide (DMSO) (Sigma, D2650). The dissolved TMZ was then aliquoted to 125 ul each at original concentration of 200 mM</w:t>
      </w:r>
      <w:r>
        <w:rPr>
          <w:rFonts w:hint="eastAsia" w:ascii="Times New Roman" w:hAnsi="Times New Roman" w:cs="Times New Roman"/>
          <w:sz w:val="22"/>
          <w:szCs w:val="22"/>
          <w:lang w:val="en-US" w:eastAsia="zh-CN"/>
        </w:rPr>
        <w:t>(for cells),</w:t>
      </w:r>
      <w:r>
        <w:rPr>
          <w:rFonts w:hint="eastAsia" w:ascii="Times New Roman" w:hAnsi="Times New Roman" w:cs="Times New Roman"/>
          <w:sz w:val="22"/>
          <w:szCs w:val="22"/>
        </w:rPr>
        <w:t xml:space="preserve"> </w:t>
      </w:r>
      <w:r>
        <w:rPr>
          <w:rFonts w:hint="eastAsia" w:ascii="Times New Roman" w:hAnsi="Times New Roman" w:cs="Times New Roman"/>
          <w:sz w:val="22"/>
          <w:szCs w:val="22"/>
          <w:lang w:val="en-US" w:eastAsia="zh-CN"/>
        </w:rPr>
        <w:t xml:space="preserve">500ul </w:t>
      </w:r>
      <w:r>
        <w:rPr>
          <w:rFonts w:hint="eastAsia" w:ascii="Times New Roman" w:hAnsi="Times New Roman" w:cs="Times New Roman"/>
          <w:sz w:val="22"/>
          <w:szCs w:val="22"/>
        </w:rPr>
        <w:t xml:space="preserve">each at original concentration of </w:t>
      </w:r>
      <w:r>
        <w:rPr>
          <w:rFonts w:hint="eastAsia" w:ascii="Times New Roman" w:hAnsi="Times New Roman" w:cs="Times New Roman"/>
          <w:sz w:val="22"/>
          <w:szCs w:val="22"/>
          <w:lang w:val="en-US" w:eastAsia="zh-CN"/>
        </w:rPr>
        <w:t>500</w:t>
      </w:r>
      <w:r>
        <w:rPr>
          <w:rFonts w:hint="eastAsia" w:ascii="Times New Roman" w:hAnsi="Times New Roman" w:cs="Times New Roman"/>
          <w:sz w:val="22"/>
          <w:szCs w:val="22"/>
        </w:rPr>
        <w:t xml:space="preserve"> mM</w:t>
      </w:r>
      <w:r>
        <w:rPr>
          <w:rFonts w:hint="eastAsia" w:ascii="Times New Roman" w:hAnsi="Times New Roman" w:cs="Times New Roman"/>
          <w:sz w:val="22"/>
          <w:szCs w:val="22"/>
          <w:lang w:val="en-US" w:eastAsia="zh-CN"/>
        </w:rPr>
        <w:t xml:space="preserve"> </w:t>
      </w:r>
      <w:r>
        <w:rPr>
          <w:rFonts w:hint="eastAsia" w:ascii="Times New Roman" w:hAnsi="Times New Roman" w:cs="Times New Roman"/>
          <w:sz w:val="22"/>
          <w:szCs w:val="22"/>
        </w:rPr>
        <w:t>and stored in -80</w:t>
      </w:r>
      <w:r>
        <w:rPr>
          <w:rFonts w:hint="eastAsia" w:ascii="Times New Roman" w:hAnsi="Times New Roman" w:cs="Times New Roman"/>
          <w:sz w:val="22"/>
          <w:szCs w:val="22"/>
          <w:lang w:val="en-US" w:eastAsia="zh-CN"/>
        </w:rPr>
        <w:t>℃</w:t>
      </w:r>
      <w:r>
        <w:rPr>
          <w:rFonts w:hint="eastAsia" w:ascii="Times New Roman" w:hAnsi="Times New Roman" w:cs="Times New Roman"/>
          <w:sz w:val="22"/>
          <w:szCs w:val="22"/>
        </w:rPr>
        <w:t>. The stock solution was diluted with Dulbecco's modified Eagle's medium according to the necessity of different experiments and filtered through a 0.22-um cell strainer (Millipore, SLGP033RB</w:t>
      </w:r>
      <w:r>
        <w:rPr>
          <w:rFonts w:hint="eastAsia" w:ascii="Times New Roman" w:hAnsi="Times New Roman" w:cs="Times New Roman"/>
          <w:sz w:val="22"/>
          <w:szCs w:val="22"/>
          <w:lang w:val="en-US" w:eastAsia="zh-CN"/>
        </w:rPr>
        <w:t xml:space="preserve">, </w:t>
      </w:r>
      <w:r>
        <w:rPr>
          <w:rFonts w:hint="eastAsia" w:ascii="Times New Roman" w:hAnsi="Times New Roman" w:cs="Times New Roman"/>
          <w:sz w:val="22"/>
          <w:szCs w:val="22"/>
        </w:rPr>
        <w:t xml:space="preserve">MA). </w:t>
      </w:r>
      <w:r>
        <w:rPr>
          <w:rFonts w:hint="eastAsia" w:ascii="Times New Roman" w:hAnsi="Times New Roman" w:cs="Times New Roman"/>
          <w:sz w:val="22"/>
          <w:szCs w:val="22"/>
          <w:lang w:val="en-US" w:eastAsia="zh-CN"/>
        </w:rPr>
        <w:t>GBM c</w:t>
      </w:r>
      <w:r>
        <w:rPr>
          <w:rFonts w:hint="eastAsia" w:ascii="Times New Roman" w:hAnsi="Times New Roman" w:cs="Times New Roman"/>
          <w:sz w:val="22"/>
          <w:szCs w:val="22"/>
        </w:rPr>
        <w:t xml:space="preserve">ells </w:t>
      </w:r>
      <w:r>
        <w:rPr>
          <w:rFonts w:hint="eastAsia" w:ascii="Times New Roman" w:hAnsi="Times New Roman" w:cs="Times New Roman"/>
          <w:sz w:val="22"/>
          <w:szCs w:val="22"/>
          <w:lang w:val="en-US" w:eastAsia="zh-CN"/>
        </w:rPr>
        <w:t xml:space="preserve">and </w:t>
      </w:r>
      <w:r>
        <w:rPr>
          <w:rFonts w:hint="default" w:ascii="Times New Roman" w:hAnsi="Times New Roman" w:cs="Times New Roman"/>
          <w:szCs w:val="21"/>
        </w:rPr>
        <w:t>xenograft model of nude mice</w:t>
      </w:r>
      <w:r>
        <w:rPr>
          <w:rFonts w:hint="eastAsia" w:ascii="Times New Roman" w:hAnsi="Times New Roman" w:cs="Times New Roman"/>
          <w:szCs w:val="21"/>
          <w:lang w:val="en-US" w:eastAsia="zh-CN"/>
        </w:rPr>
        <w:t xml:space="preserve"> </w:t>
      </w:r>
      <w:r>
        <w:rPr>
          <w:rFonts w:hint="eastAsia" w:ascii="Times New Roman" w:hAnsi="Times New Roman" w:cs="Times New Roman"/>
          <w:sz w:val="22"/>
          <w:szCs w:val="22"/>
        </w:rPr>
        <w:t>were irradiated with 4Gy</w:t>
      </w:r>
      <w:r>
        <w:rPr>
          <w:rFonts w:hint="eastAsia" w:ascii="Times New Roman" w:hAnsi="Times New Roman" w:cs="Times New Roman"/>
          <w:sz w:val="22"/>
          <w:szCs w:val="22"/>
          <w:lang w:val="en-US" w:eastAsia="zh-CN"/>
        </w:rPr>
        <w:t xml:space="preserve"> or 6Gy</w:t>
      </w:r>
      <w:r>
        <w:rPr>
          <w:rFonts w:hint="eastAsia" w:ascii="Times New Roman" w:hAnsi="Times New Roman" w:cs="Times New Roman"/>
          <w:sz w:val="22"/>
          <w:szCs w:val="22"/>
        </w:rPr>
        <w:t xml:space="preserve"> X-ray to mimic a clinically relevant GBM therapy. After radiation, cells were subjected to subsequent analysis. Irradiation was performed with an X-ray generator (120 kV, 22.7 mA, variable time; GE Inspection Technologies, Hürth, Germany).</w:t>
      </w:r>
    </w:p>
    <w:p>
      <w:pPr>
        <w:numPr>
          <w:ilvl w:val="0"/>
          <w:numId w:val="0"/>
        </w:numPr>
        <w:ind w:leftChars="0" w:firstLine="440" w:firstLineChars="200"/>
        <w:rPr>
          <w:rFonts w:hint="default" w:ascii="Times New Roman" w:hAnsi="Times New Roman" w:cs="Times New Roman"/>
          <w:sz w:val="22"/>
          <w:szCs w:val="22"/>
          <w:lang w:val="en-US" w:eastAsia="zh-CN"/>
        </w:rPr>
      </w:pPr>
    </w:p>
    <w:p>
      <w:pPr>
        <w:numPr>
          <w:ilvl w:val="0"/>
          <w:numId w:val="0"/>
        </w:numPr>
        <w:rPr>
          <w:rFonts w:ascii="Times New Roman" w:hAnsi="Times New Roman" w:cs="Times New Roman"/>
          <w:sz w:val="22"/>
          <w:szCs w:val="22"/>
        </w:rPr>
      </w:pPr>
      <w:r>
        <w:rPr>
          <w:rFonts w:hint="default" w:ascii="Times New Roman" w:hAnsi="Times New Roman" w:cs="Times New Roman"/>
          <w:b/>
          <w:bCs/>
          <w:sz w:val="28"/>
          <w:szCs w:val="28"/>
          <w:lang w:val="en-US" w:eastAsia="zh-CN"/>
        </w:rPr>
        <w:t>Xenograft studies</w:t>
      </w:r>
    </w:p>
    <w:p>
      <w:pPr>
        <w:numPr>
          <w:ilvl w:val="0"/>
          <w:numId w:val="0"/>
        </w:numPr>
        <w:ind w:leftChars="0" w:firstLine="440" w:firstLineChars="200"/>
        <w:rPr>
          <w:rFonts w:hint="default" w:ascii="Times New Roman" w:hAnsi="Times New Roman" w:cs="Times New Roman"/>
          <w:b/>
          <w:bCs/>
          <w:sz w:val="24"/>
          <w:szCs w:val="24"/>
        </w:rPr>
      </w:pPr>
      <w:r>
        <w:rPr>
          <w:rFonts w:ascii="Times New Roman" w:hAnsi="Times New Roman" w:cs="Times New Roman"/>
          <w:sz w:val="22"/>
          <w:szCs w:val="22"/>
        </w:rPr>
        <w:t>For the orthotropic brain tumor model, GBM cells (1 × 10</w:t>
      </w:r>
      <w:r>
        <w:rPr>
          <w:rFonts w:ascii="Times New Roman" w:hAnsi="Times New Roman" w:cs="Times New Roman"/>
          <w:sz w:val="22"/>
          <w:szCs w:val="22"/>
          <w:vertAlign w:val="superscript"/>
        </w:rPr>
        <w:t>6</w:t>
      </w:r>
      <w:r>
        <w:rPr>
          <w:rFonts w:ascii="Times New Roman" w:hAnsi="Times New Roman" w:cs="Times New Roman"/>
          <w:sz w:val="22"/>
          <w:szCs w:val="22"/>
        </w:rPr>
        <w:t xml:space="preserve">) were injected intracranially (in 5 </w:t>
      </w:r>
      <w:r>
        <w:rPr>
          <w:rFonts w:ascii="Symbol" w:hAnsi="Symbol" w:cs="Times New Roman"/>
          <w:sz w:val="22"/>
          <w:szCs w:val="22"/>
        </w:rPr>
        <w:t></w:t>
      </w:r>
      <w:r>
        <w:rPr>
          <w:rFonts w:ascii="Times New Roman" w:hAnsi="Times New Roman" w:cs="Times New Roman"/>
          <w:sz w:val="22"/>
          <w:szCs w:val="22"/>
        </w:rPr>
        <w:t xml:space="preserve">L of PBS per mouse) with negative control or </w:t>
      </w:r>
      <w:r>
        <w:rPr>
          <w:rFonts w:hint="eastAsia" w:ascii="Times New Roman" w:hAnsi="Times New Roman" w:cs="Times New Roman"/>
          <w:i/>
          <w:sz w:val="22"/>
          <w:szCs w:val="22"/>
          <w:lang w:val="en-US" w:eastAsia="zh-CN"/>
        </w:rPr>
        <w:t>LV-shRBBP4</w:t>
      </w:r>
      <w:r>
        <w:rPr>
          <w:rFonts w:ascii="Times New Roman" w:hAnsi="Times New Roman" w:cs="Times New Roman"/>
          <w:sz w:val="22"/>
          <w:szCs w:val="22"/>
        </w:rPr>
        <w:t xml:space="preserve"> or </w:t>
      </w:r>
      <w:r>
        <w:rPr>
          <w:rFonts w:hint="eastAsia" w:ascii="Times New Roman" w:hAnsi="Times New Roman" w:cs="Times New Roman"/>
          <w:i/>
          <w:sz w:val="22"/>
          <w:szCs w:val="22"/>
          <w:lang w:val="en-US" w:eastAsia="zh-CN"/>
        </w:rPr>
        <w:t>LV-RBBP4</w:t>
      </w:r>
      <w:r>
        <w:rPr>
          <w:rFonts w:ascii="Times New Roman" w:hAnsi="Times New Roman" w:cs="Times New Roman"/>
          <w:sz w:val="22"/>
          <w:szCs w:val="22"/>
        </w:rPr>
        <w:t xml:space="preserve"> into 4-week-old male </w:t>
      </w:r>
      <w:bookmarkStart w:id="4" w:name="OLE_LINK91"/>
      <w:bookmarkStart w:id="5" w:name="OLE_LINK90"/>
      <w:r>
        <w:rPr>
          <w:rFonts w:ascii="Times New Roman" w:hAnsi="Times New Roman" w:cs="Times New Roman"/>
          <w:sz w:val="22"/>
          <w:szCs w:val="22"/>
        </w:rPr>
        <w:t>athymic</w:t>
      </w:r>
      <w:bookmarkEnd w:id="4"/>
      <w:bookmarkEnd w:id="5"/>
      <w:r>
        <w:rPr>
          <w:rFonts w:ascii="Times New Roman" w:hAnsi="Times New Roman" w:cs="Times New Roman"/>
          <w:sz w:val="22"/>
          <w:szCs w:val="22"/>
        </w:rPr>
        <w:t xml:space="preserve"> nude mice (</w:t>
      </w:r>
      <w:r>
        <w:rPr>
          <w:rFonts w:hint="eastAsia" w:ascii="Times New Roman" w:hAnsi="Times New Roman" w:cs="Times New Roman"/>
          <w:sz w:val="22"/>
          <w:szCs w:val="22"/>
          <w:lang w:val="en-US" w:eastAsia="zh-CN"/>
        </w:rPr>
        <w:t>ten</w:t>
      </w:r>
      <w:r>
        <w:rPr>
          <w:rFonts w:ascii="Times New Roman" w:hAnsi="Times New Roman" w:cs="Times New Roman"/>
          <w:sz w:val="22"/>
          <w:szCs w:val="22"/>
        </w:rPr>
        <w:t xml:space="preserve"> mice/group).</w:t>
      </w:r>
      <w:r>
        <w:t xml:space="preserve"> </w:t>
      </w:r>
      <w:r>
        <w:rPr>
          <w:rFonts w:ascii="Times New Roman" w:hAnsi="Times New Roman" w:cs="Times New Roman"/>
          <w:sz w:val="22"/>
          <w:szCs w:val="22"/>
        </w:rPr>
        <w:t>Injections were made into the frontal cortex (coordinates were as follows: X = 2mm, Y = -3mm, Z = -2.5mm, with Bregma serving as the 0 point for X and Y). Four weeks after injection, the tumor was confirmed using MRI (Bruker Medical Inc., Billerica, MA, USA), and then the animals were sacrificed und</w:t>
      </w:r>
      <w:r>
        <w:rPr>
          <w:rFonts w:ascii="Times New Roman" w:hAnsi="Times New Roman" w:cs="Times New Roman"/>
          <w:color w:val="000000" w:themeColor="text1"/>
          <w:sz w:val="22"/>
          <w:szCs w:val="22"/>
          <w14:textFill>
            <w14:solidFill>
              <w14:schemeClr w14:val="tx1"/>
            </w14:solidFill>
          </w14:textFill>
        </w:rPr>
        <w:t>er abdominal anesthesia by pentobarbital natrium in the terminal phase. The brains were then removed after trans-heart perfusion with heparin-saline and 4% PFA.</w:t>
      </w:r>
    </w:p>
    <w:p>
      <w:pPr>
        <w:numPr>
          <w:ilvl w:val="0"/>
          <w:numId w:val="0"/>
        </w:numPr>
        <w:ind w:leftChars="0"/>
        <w:rPr>
          <w:rFonts w:hint="default" w:ascii="Times New Roman" w:hAnsi="Times New Roman" w:cs="Times New Roman"/>
          <w:b/>
          <w:bCs/>
          <w:sz w:val="24"/>
          <w:szCs w:val="24"/>
        </w:rPr>
      </w:pPr>
    </w:p>
    <w:p>
      <w:pPr>
        <w:numPr>
          <w:ilvl w:val="0"/>
          <w:numId w:val="0"/>
        </w:numPr>
        <w:rPr>
          <w:rFonts w:hint="default" w:ascii="Times New Roman" w:hAnsi="Times New Roman" w:cs="Times New Roman"/>
          <w:b/>
          <w:bCs/>
          <w:sz w:val="24"/>
          <w:szCs w:val="24"/>
        </w:rPr>
      </w:pPr>
      <w:r>
        <w:rPr>
          <w:rFonts w:hint="eastAsia" w:ascii="Times New Roman" w:hAnsi="Times New Roman" w:cs="Times New Roman"/>
          <w:b/>
          <w:bCs/>
          <w:sz w:val="28"/>
          <w:szCs w:val="28"/>
          <w:lang w:val="en-US" w:eastAsia="zh-CN"/>
        </w:rPr>
        <w:t>I</w:t>
      </w:r>
      <w:r>
        <w:rPr>
          <w:rFonts w:hint="default" w:ascii="Times New Roman" w:hAnsi="Times New Roman" w:cs="Times New Roman"/>
          <w:b/>
          <w:bCs/>
          <w:sz w:val="28"/>
          <w:szCs w:val="28"/>
          <w:lang w:val="en-US" w:eastAsia="zh-CN"/>
        </w:rPr>
        <w:t>mmunohistochemical staining</w:t>
      </w:r>
    </w:p>
    <w:p>
      <w:pPr>
        <w:numPr>
          <w:ilvl w:val="0"/>
          <w:numId w:val="0"/>
        </w:numPr>
        <w:ind w:leftChars="0" w:firstLine="440" w:firstLineChars="200"/>
        <w:rPr>
          <w:rFonts w:hint="default" w:ascii="Times New Roman" w:hAnsi="Times New Roman" w:cs="Times New Roman"/>
          <w:b/>
          <w:bCs/>
          <w:sz w:val="24"/>
          <w:szCs w:val="24"/>
        </w:rPr>
      </w:pPr>
      <w:r>
        <w:rPr>
          <w:rFonts w:ascii="Times New Roman" w:hAnsi="Times New Roman" w:cs="Times New Roman"/>
          <w:sz w:val="22"/>
          <w:szCs w:val="22"/>
        </w:rPr>
        <w:t>The tumor samples of patients and the whole cranium from each animal were collected and fixed in 4% paraformaldehyde for 24-48 h, embedded in paraffin, cut into serial 4-µm-thick sections, and stained with he</w:t>
      </w:r>
      <w:r>
        <w:rPr>
          <w:rFonts w:ascii="Times New Roman" w:hAnsi="Times New Roman" w:cs="Times New Roman"/>
          <w:color w:val="000000" w:themeColor="text1"/>
          <w:sz w:val="22"/>
          <w:szCs w:val="22"/>
          <w14:textFill>
            <w14:solidFill>
              <w14:schemeClr w14:val="tx1"/>
            </w14:solidFill>
          </w14:textFill>
        </w:rPr>
        <w:t xml:space="preserve">matoxylin and eosin </w:t>
      </w:r>
      <w:r>
        <w:rPr>
          <w:rFonts w:hint="eastAsia" w:ascii="Times New Roman" w:hAnsi="Times New Roman" w:cs="Times New Roman"/>
          <w:color w:val="000000" w:themeColor="text1"/>
          <w:sz w:val="22"/>
          <w:szCs w:val="22"/>
          <w:lang w:val="en-US" w:eastAsia="zh-CN"/>
          <w14:textFill>
            <w14:solidFill>
              <w14:schemeClr w14:val="tx1"/>
            </w14:solidFill>
          </w14:textFill>
        </w:rPr>
        <w:t xml:space="preserve">kit </w:t>
      </w:r>
      <w:r>
        <w:rPr>
          <w:rFonts w:ascii="Times New Roman" w:hAnsi="Times New Roman" w:cs="Times New Roman"/>
          <w:color w:val="000000" w:themeColor="text1"/>
          <w:sz w:val="22"/>
          <w:szCs w:val="22"/>
          <w14:textFill>
            <w14:solidFill>
              <w14:schemeClr w14:val="tx1"/>
            </w14:solidFill>
          </w14:textFill>
        </w:rPr>
        <w:t>(</w:t>
      </w:r>
      <w:bookmarkStart w:id="6" w:name="OLE_LINK4"/>
      <w:r>
        <w:rPr>
          <w:rFonts w:ascii="Times New Roman" w:hAnsi="Times New Roman" w:cs="Times New Roman"/>
          <w:color w:val="000000" w:themeColor="text1"/>
          <w:sz w:val="22"/>
          <w:szCs w:val="22"/>
          <w14:textFill>
            <w14:solidFill>
              <w14:schemeClr w14:val="tx1"/>
            </w14:solidFill>
          </w14:textFill>
        </w:rPr>
        <w:t>LEAGENE</w:t>
      </w:r>
      <w:bookmarkEnd w:id="6"/>
      <w:r>
        <w:rPr>
          <w:rFonts w:ascii="Times New Roman" w:hAnsi="Times New Roman" w:cs="Times New Roman"/>
          <w:color w:val="000000" w:themeColor="text1"/>
          <w:sz w:val="22"/>
          <w:szCs w:val="22"/>
          <w14:textFill>
            <w14:solidFill>
              <w14:schemeClr w14:val="tx1"/>
            </w14:solidFill>
          </w14:textFill>
        </w:rPr>
        <w:t>, DH0006-2</w:t>
      </w:r>
      <w:r>
        <w:rPr>
          <w:rFonts w:hint="eastAsia" w:ascii="Times New Roman" w:hAnsi="Times New Roman" w:cs="Times New Roman"/>
          <w:color w:val="000000" w:themeColor="text1"/>
          <w:sz w:val="22"/>
          <w:szCs w:val="22"/>
          <w14:textFill>
            <w14:solidFill>
              <w14:schemeClr w14:val="tx1"/>
            </w14:solidFill>
          </w14:textFill>
        </w:rPr>
        <w:t>,</w:t>
      </w:r>
      <w:r>
        <w:rPr>
          <w:rFonts w:ascii="Times New Roman" w:hAnsi="Times New Roman" w:cs="Times New Roman"/>
          <w:color w:val="000000" w:themeColor="text1"/>
          <w:sz w:val="22"/>
          <w:szCs w:val="22"/>
          <w14:textFill>
            <w14:solidFill>
              <w14:schemeClr w14:val="tx1"/>
            </w14:solidFill>
          </w14:textFill>
        </w:rPr>
        <w:t xml:space="preserve"> Beijing, China) for histological examin</w:t>
      </w:r>
      <w:r>
        <w:rPr>
          <w:rFonts w:ascii="Times New Roman" w:hAnsi="Times New Roman" w:cs="Times New Roman"/>
          <w:sz w:val="22"/>
          <w:szCs w:val="22"/>
        </w:rPr>
        <w:t xml:space="preserve">ation. The immunohistochemical staining was performed using the ZSGB-BIO PV-9000 (Beijing, China) kit according to manufacturer’s instructions. The tissue sections from paraffin-embedded human GBM specimens and xenograft tissue were stained with specific antibodies (See </w:t>
      </w:r>
      <w:bookmarkStart w:id="7" w:name="OLE_LINK5"/>
      <w:r>
        <w:rPr>
          <w:rFonts w:hint="default" w:ascii="Times New Roman" w:hAnsi="Times New Roman" w:cs="Times New Roman"/>
          <w:b/>
          <w:bCs/>
          <w:sz w:val="22"/>
          <w:szCs w:val="22"/>
        </w:rPr>
        <w:t>Supplementa</w:t>
      </w:r>
      <w:r>
        <w:rPr>
          <w:rFonts w:hint="eastAsia" w:ascii="Times New Roman" w:hAnsi="Times New Roman" w:cs="Times New Roman"/>
          <w:b/>
          <w:bCs/>
          <w:sz w:val="22"/>
          <w:szCs w:val="22"/>
          <w:lang w:val="en-US" w:eastAsia="zh-CN"/>
        </w:rPr>
        <w:t>ry</w:t>
      </w:r>
      <w:bookmarkEnd w:id="7"/>
      <w:r>
        <w:rPr>
          <w:rFonts w:hint="default" w:ascii="Times New Roman" w:hAnsi="Times New Roman" w:cs="Times New Roman"/>
          <w:b/>
          <w:bCs/>
          <w:sz w:val="22"/>
          <w:szCs w:val="22"/>
        </w:rPr>
        <w:t xml:space="preserve"> </w:t>
      </w:r>
      <w:r>
        <w:rPr>
          <w:rFonts w:hint="eastAsia" w:ascii="Times New Roman" w:hAnsi="Times New Roman" w:cs="Times New Roman"/>
          <w:b/>
          <w:bCs/>
          <w:sz w:val="22"/>
          <w:szCs w:val="22"/>
          <w:lang w:val="en-US" w:eastAsia="zh-CN"/>
        </w:rPr>
        <w:t>table</w:t>
      </w:r>
      <w:r>
        <w:rPr>
          <w:rFonts w:hint="eastAsia" w:ascii="Times New Roman" w:hAnsi="Times New Roman" w:cs="Times New Roman"/>
          <w:sz w:val="22"/>
          <w:szCs w:val="22"/>
        </w:rPr>
        <w:t>)</w:t>
      </w:r>
      <w:r>
        <w:rPr>
          <w:rFonts w:ascii="Times New Roman" w:hAnsi="Times New Roman" w:cs="Times New Roman"/>
          <w:sz w:val="22"/>
          <w:szCs w:val="22"/>
        </w:rPr>
        <w:t xml:space="preserve"> or nonspecific IgG as a negative control.</w:t>
      </w:r>
    </w:p>
    <w:p>
      <w:pPr>
        <w:numPr>
          <w:ilvl w:val="0"/>
          <w:numId w:val="0"/>
        </w:numPr>
        <w:ind w:leftChars="0"/>
        <w:rPr>
          <w:rFonts w:hint="default" w:ascii="Times New Roman" w:hAnsi="Times New Roman" w:cs="Times New Roman"/>
          <w:b/>
          <w:bCs/>
          <w:sz w:val="24"/>
          <w:szCs w:val="24"/>
        </w:rPr>
      </w:pPr>
    </w:p>
    <w:p>
      <w:pPr>
        <w:numPr>
          <w:ilvl w:val="0"/>
          <w:numId w:val="0"/>
        </w:numPr>
        <w:rPr>
          <w:rFonts w:hint="default" w:ascii="Times New Roman" w:hAnsi="Times New Roman" w:cs="Times New Roman"/>
          <w:sz w:val="22"/>
          <w:szCs w:val="22"/>
        </w:rPr>
      </w:pPr>
      <w:r>
        <w:rPr>
          <w:rFonts w:hint="default" w:ascii="Times New Roman" w:hAnsi="Times New Roman" w:cs="Times New Roman"/>
          <w:b/>
          <w:bCs/>
          <w:sz w:val="28"/>
          <w:szCs w:val="28"/>
          <w:lang w:val="en-US" w:eastAsia="zh-CN"/>
        </w:rPr>
        <w:t>Bioinformatics analysis</w:t>
      </w:r>
    </w:p>
    <w:p>
      <w:pPr>
        <w:numPr>
          <w:ilvl w:val="0"/>
          <w:numId w:val="0"/>
        </w:numPr>
        <w:ind w:leftChars="0" w:firstLine="440" w:firstLineChars="200"/>
        <w:rPr>
          <w:rFonts w:hint="default" w:ascii="Times New Roman" w:hAnsi="Times New Roman" w:cs="Times New Roman"/>
          <w:sz w:val="22"/>
          <w:szCs w:val="22"/>
        </w:rPr>
      </w:pPr>
      <w:r>
        <w:rPr>
          <w:rFonts w:hint="default" w:ascii="Times New Roman" w:hAnsi="Times New Roman" w:cs="Times New Roman"/>
          <w:sz w:val="22"/>
          <w:szCs w:val="22"/>
        </w:rPr>
        <w:t>FPKM data of GBM transcriptome were downloaded from UCSC Xena website, and normal brain tissue samples and samples with MGMT gene expression above the median were removed. Subsequently, the expression of primary and recurrent tumors was compared. With PFS as the survival endpoint, the maximum selection likelihood rank algorithm was used to select the optimal cut value of RBBP4 gene for prognostic differentiation, and then the patients were divided into high and low expression groups for survival analysis. The R packages used and statistics and graphics include: Survival, SurvMiner, SurvCOMp, GGPLOT2, GGSCI, GGTheme.</w:t>
      </w:r>
    </w:p>
    <w:p>
      <w:pPr>
        <w:numPr>
          <w:ilvl w:val="0"/>
          <w:numId w:val="0"/>
        </w:numPr>
        <w:ind w:leftChars="0" w:firstLine="440" w:firstLineChars="200"/>
        <w:rPr>
          <w:rFonts w:hint="default" w:ascii="Times New Roman" w:hAnsi="Times New Roman" w:cs="Times New Roman"/>
          <w:sz w:val="22"/>
          <w:szCs w:val="22"/>
        </w:rPr>
      </w:pPr>
    </w:p>
    <w:p>
      <w:pPr>
        <w:numPr>
          <w:ilvl w:val="0"/>
          <w:numId w:val="0"/>
        </w:numPr>
        <w:rPr>
          <w:rFonts w:hint="default" w:ascii="Times New Roman" w:hAnsi="Times New Roman" w:cs="Times New Roman"/>
          <w:b/>
          <w:bCs/>
          <w:sz w:val="24"/>
          <w:szCs w:val="24"/>
        </w:rPr>
      </w:pPr>
      <w:r>
        <w:rPr>
          <w:rFonts w:hint="default" w:ascii="Times New Roman" w:hAnsi="Times New Roman" w:cs="Times New Roman"/>
          <w:b/>
          <w:bCs/>
          <w:sz w:val="28"/>
          <w:szCs w:val="28"/>
          <w:lang w:val="en-US" w:eastAsia="zh-CN"/>
        </w:rPr>
        <w:t>Statistical analysis</w:t>
      </w:r>
    </w:p>
    <w:p>
      <w:pPr>
        <w:numPr>
          <w:ilvl w:val="0"/>
          <w:numId w:val="0"/>
        </w:numPr>
        <w:ind w:leftChars="0" w:firstLine="440" w:firstLineChars="200"/>
        <w:rPr>
          <w:rFonts w:ascii="Times New Roman" w:hAnsi="Times New Roman" w:cs="Times New Roman"/>
          <w:sz w:val="22"/>
          <w:szCs w:val="22"/>
        </w:rPr>
      </w:pPr>
      <w:r>
        <w:rPr>
          <w:rFonts w:ascii="Times New Roman" w:hAnsi="Times New Roman" w:cs="Times New Roman"/>
          <w:sz w:val="22"/>
          <w:szCs w:val="22"/>
        </w:rPr>
        <w:t>All experiments were performed in triplicate with mean and standard error of the mean reported where appropriate. Analysis of variance (ANOVA) was conducted for multi-group comparisons followed by a post-hoc Dunnett’s test (groups compared to one control group) or post-hoc Tukey’s test (to identify differences among sub-groups). Where appropriate, direct comparisons were conducted using an unpaired two-tailed Student’s t-test. A Spearman rank test was applied to verify the correlation of grading information. Survival curves were estimated with the use of the Kaplan-Meier product-limit method, and survival distributions were compared across groups with the use of the log-rank test. Significance was denoted as #: P &gt; 0.05, *</w:t>
      </w:r>
      <w:r>
        <w:rPr>
          <w:rFonts w:hint="eastAsia" w:ascii="Times New Roman" w:hAnsi="Times New Roman" w:cs="Times New Roman"/>
          <w:sz w:val="22"/>
          <w:szCs w:val="22"/>
        </w:rPr>
        <w:t>:</w:t>
      </w:r>
      <w:r>
        <w:rPr>
          <w:rFonts w:ascii="Times New Roman" w:hAnsi="Times New Roman" w:cs="Times New Roman"/>
          <w:sz w:val="22"/>
          <w:szCs w:val="22"/>
        </w:rPr>
        <w:t xml:space="preserve"> P &lt; 0.05, **: P &lt; 0.01, ***: P &lt; 0.001.</w:t>
      </w:r>
    </w:p>
    <w:p>
      <w:pPr>
        <w:numPr>
          <w:ilvl w:val="0"/>
          <w:numId w:val="0"/>
        </w:numPr>
        <w:ind w:leftChars="0"/>
        <w:rPr>
          <w:rFonts w:hint="default" w:ascii="Times New Roman" w:hAnsi="Times New Roman" w:cs="Times New Roman"/>
          <w:b/>
          <w:bCs/>
          <w:sz w:val="24"/>
          <w:szCs w:val="24"/>
        </w:rPr>
      </w:pPr>
    </w:p>
    <w:p>
      <w:pPr>
        <w:numPr>
          <w:ilvl w:val="0"/>
          <w:numId w:val="0"/>
        </w:numPr>
        <w:ind w:leftChars="0"/>
        <w:rPr>
          <w:rFonts w:hint="default" w:ascii="Times New Roman" w:hAnsi="Times New Roman" w:cs="Times New Roman"/>
          <w:b/>
          <w:bCs/>
          <w:sz w:val="24"/>
          <w:szCs w:val="24"/>
        </w:rPr>
      </w:pPr>
    </w:p>
    <w:p>
      <w:pPr>
        <w:numPr>
          <w:ilvl w:val="0"/>
          <w:numId w:val="0"/>
        </w:numPr>
        <w:ind w:leftChars="0"/>
        <w:rPr>
          <w:rFonts w:hint="default" w:ascii="Times New Roman" w:hAnsi="Times New Roman" w:cs="Times New Roman"/>
          <w:b/>
          <w:bCs/>
          <w:sz w:val="24"/>
          <w:szCs w:val="24"/>
        </w:rPr>
      </w:pPr>
    </w:p>
    <w:p>
      <w:pPr>
        <w:snapToGrid w:val="0"/>
        <w:spacing w:line="480" w:lineRule="auto"/>
        <w:outlineLvl w:val="0"/>
        <w:rPr>
          <w:rFonts w:hint="default" w:ascii="Times New Roman" w:hAnsi="Times New Roman" w:cs="Times New Roman"/>
          <w:b/>
          <w:bCs/>
          <w:sz w:val="32"/>
          <w:szCs w:val="32"/>
        </w:rPr>
      </w:pPr>
      <w:r>
        <w:rPr>
          <w:rFonts w:hint="default" w:ascii="Times New Roman" w:hAnsi="Times New Roman" w:cs="Times New Roman"/>
          <w:b/>
          <w:bCs/>
          <w:sz w:val="32"/>
          <w:szCs w:val="32"/>
        </w:rPr>
        <w:t>SUPPLEMENTARY FIGURE LEGENDS</w:t>
      </w:r>
    </w:p>
    <w:p>
      <w:pPr>
        <w:snapToGrid w:val="0"/>
        <w:spacing w:line="480" w:lineRule="auto"/>
        <w:outlineLvl w:val="0"/>
        <w:rPr>
          <w:rFonts w:hint="eastAsia" w:ascii="Times New Roman" w:hAnsi="Times New Roman" w:cs="Times New Roman" w:eastAsiaTheme="minorEastAsia"/>
          <w:b/>
          <w:bCs/>
          <w:sz w:val="32"/>
          <w:szCs w:val="32"/>
          <w:lang w:eastAsia="zh-CN"/>
        </w:rPr>
      </w:pPr>
      <w:r>
        <w:rPr>
          <w:rFonts w:hint="eastAsia" w:ascii="Times New Roman" w:hAnsi="Times New Roman" w:cs="Times New Roman" w:eastAsiaTheme="minorEastAsia"/>
          <w:b/>
          <w:bCs/>
          <w:sz w:val="32"/>
          <w:szCs w:val="32"/>
          <w:lang w:eastAsia="zh-CN"/>
        </w:rPr>
        <w:drawing>
          <wp:inline distT="0" distB="0" distL="114300" distR="114300">
            <wp:extent cx="5265420" cy="4611370"/>
            <wp:effectExtent l="0" t="0" r="5080" b="11430"/>
            <wp:docPr id="1" name="图片 1" descr="figure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figureS1（√）"/>
                    <pic:cNvPicPr>
                      <a:picLocks noChangeAspect="1"/>
                    </pic:cNvPicPr>
                  </pic:nvPicPr>
                  <pic:blipFill>
                    <a:blip r:embed="rId4"/>
                    <a:stretch>
                      <a:fillRect/>
                    </a:stretch>
                  </pic:blipFill>
                  <pic:spPr>
                    <a:xfrm>
                      <a:off x="0" y="0"/>
                      <a:ext cx="5265420" cy="4611370"/>
                    </a:xfrm>
                    <a:prstGeom prst="rect">
                      <a:avLst/>
                    </a:prstGeom>
                  </pic:spPr>
                </pic:pic>
              </a:graphicData>
            </a:graphic>
          </wp:inline>
        </w:drawing>
      </w:r>
    </w:p>
    <w:p>
      <w:pPr>
        <w:rPr>
          <w:rFonts w:ascii="Times New Roman" w:hAnsi="Times New Roman" w:cs="Times New Roman"/>
          <w:b/>
          <w:bCs/>
        </w:rPr>
      </w:pPr>
      <w:r>
        <w:rPr>
          <w:rFonts w:ascii="Times New Roman" w:hAnsi="Times New Roman" w:cs="Times New Roman"/>
          <w:b/>
          <w:bCs/>
        </w:rPr>
        <w:t>Fig. S1 TMZ upregulates RBBP4 expression.</w:t>
      </w:r>
    </w:p>
    <w:p>
      <w:pPr>
        <w:widowControl/>
        <w:numPr>
          <w:ilvl w:val="0"/>
          <w:numId w:val="1"/>
        </w:numPr>
        <w:rPr>
          <w:rFonts w:ascii="Times New Roman" w:hAnsi="Times New Roman" w:cs="Times New Roman"/>
        </w:rPr>
      </w:pPr>
      <w:r>
        <w:rPr>
          <w:rFonts w:ascii="Times New Roman" w:hAnsi="Times New Roman" w:cs="Times New Roman"/>
        </w:rPr>
        <w:t xml:space="preserve">After stimulating U87MG by TMZ and DMSO, the protein levels were detected by Coomassie brilliant blue staining at 55KD </w:t>
      </w:r>
      <w:r>
        <w:rPr>
          <w:rFonts w:hint="default" w:ascii="Times New Roman" w:hAnsi="Times New Roman" w:cs="Times New Roman"/>
        </w:rPr>
        <w:t>(</w:t>
      </w:r>
      <w:r>
        <w:rPr>
          <w:rFonts w:ascii="Times New Roman" w:hAnsi="Times New Roman" w:cs="Times New Roman"/>
        </w:rPr>
        <w:t>±15KD). (B) Heatmap shows the proteins of difference under mass spectrometry analysis.</w:t>
      </w:r>
      <w:r>
        <w:rPr>
          <w:rFonts w:hint="eastAsia" w:ascii="Times New Roman" w:hAnsi="Times New Roman" w:cs="Times New Roman"/>
          <w:lang w:val="en-US" w:eastAsia="zh-CN"/>
        </w:rPr>
        <w:t xml:space="preserve">(C) </w:t>
      </w:r>
      <w:r>
        <w:rPr>
          <w:rFonts w:ascii="Times New Roman" w:hAnsi="Times New Roman" w:cs="Times New Roman"/>
        </w:rPr>
        <w:t xml:space="preserve">Western blot analyses of the expression of RBBP4 for 24, 48 and 72 h after treatment of 200um TMZ or DMSO respectively. (D) Background expression levels of MGMT, MSH2 and MSH6 in different GBM cell lines (U87MG, T98G, U118, A172, LN229, </w:t>
      </w:r>
      <w:r>
        <w:rPr>
          <w:rFonts w:hint="eastAsia" w:ascii="Times New Roman" w:hAnsi="Times New Roman" w:cs="Times New Roman"/>
        </w:rPr>
        <w:t>and</w:t>
      </w:r>
      <w:r>
        <w:rPr>
          <w:rFonts w:ascii="Times New Roman" w:hAnsi="Times New Roman" w:cs="Times New Roman"/>
        </w:rPr>
        <w:t xml:space="preserve"> U251). (E) Western blot analyses of the expression of MSH2 and MSH6 after treatment of 200um TMZ or DMSO respectively. (F) Western blot analyses of the expression of MSH2 and MSH6 in U87MG cell lines with/without knockdown RBBP4, or in LN229 cell lines with/without overexpression RBBP4.</w:t>
      </w:r>
    </w:p>
    <w:p>
      <w:pPr>
        <w:widowControl/>
        <w:numPr>
          <w:ilvl w:val="0"/>
          <w:numId w:val="0"/>
        </w:numPr>
        <w:rPr>
          <w:rFonts w:hint="eastAsia" w:ascii="Times New Roman" w:hAnsi="Times New Roman" w:cs="Times New Roman" w:eastAsiaTheme="minorEastAsia"/>
          <w:lang w:eastAsia="zh-CN"/>
        </w:rPr>
      </w:pPr>
      <w:r>
        <w:rPr>
          <w:rFonts w:hint="eastAsia" w:ascii="Times New Roman" w:hAnsi="Times New Roman" w:cs="Times New Roman" w:eastAsiaTheme="minorEastAsia"/>
          <w:lang w:eastAsia="zh-CN"/>
        </w:rPr>
        <w:drawing>
          <wp:inline distT="0" distB="0" distL="114300" distR="114300">
            <wp:extent cx="5273040" cy="3186430"/>
            <wp:effectExtent l="0" t="0" r="10160" b="1270"/>
            <wp:docPr id="2" name="图片 2" descr="figure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igureS2（√）"/>
                    <pic:cNvPicPr>
                      <a:picLocks noChangeAspect="1"/>
                    </pic:cNvPicPr>
                  </pic:nvPicPr>
                  <pic:blipFill>
                    <a:blip r:embed="rId5"/>
                    <a:stretch>
                      <a:fillRect/>
                    </a:stretch>
                  </pic:blipFill>
                  <pic:spPr>
                    <a:xfrm>
                      <a:off x="0" y="0"/>
                      <a:ext cx="5273040" cy="3186430"/>
                    </a:xfrm>
                    <a:prstGeom prst="rect">
                      <a:avLst/>
                    </a:prstGeom>
                  </pic:spPr>
                </pic:pic>
              </a:graphicData>
            </a:graphic>
          </wp:inline>
        </w:drawing>
      </w:r>
    </w:p>
    <w:p>
      <w:pPr>
        <w:widowControl/>
        <w:numPr>
          <w:ilvl w:val="0"/>
          <w:numId w:val="0"/>
        </w:numPr>
        <w:rPr>
          <w:rFonts w:ascii="Times New Roman" w:hAnsi="Times New Roman" w:cs="Times New Roman"/>
          <w:b/>
          <w:bCs/>
        </w:rPr>
      </w:pPr>
    </w:p>
    <w:p>
      <w:pPr>
        <w:widowControl/>
        <w:numPr>
          <w:ilvl w:val="0"/>
          <w:numId w:val="0"/>
        </w:numPr>
        <w:rPr>
          <w:rFonts w:ascii="Times New Roman" w:hAnsi="Times New Roman" w:cs="Times New Roman"/>
        </w:rPr>
      </w:pPr>
      <w:r>
        <w:rPr>
          <w:rFonts w:ascii="Times New Roman" w:hAnsi="Times New Roman" w:cs="Times New Roman"/>
          <w:b/>
          <w:bCs/>
        </w:rPr>
        <w:t>Fig. S2 RBBP4 inhibited TMZ-induced cell cycle arrest and apoptosis in GBM cell lines.</w:t>
      </w:r>
    </w:p>
    <w:p>
      <w:pPr>
        <w:widowControl/>
        <w:numPr>
          <w:numId w:val="0"/>
        </w:numPr>
        <w:rPr>
          <w:rFonts w:ascii="Times New Roman" w:hAnsi="Times New Roman" w:cs="Times New Roman"/>
        </w:rPr>
      </w:pPr>
      <w:r>
        <w:rPr>
          <w:rFonts w:ascii="Times New Roman" w:hAnsi="Times New Roman" w:cs="Times New Roman"/>
        </w:rPr>
        <w:t>(A</w:t>
      </w:r>
      <w:r>
        <w:rPr>
          <w:rFonts w:hint="eastAsia" w:ascii="Times New Roman" w:hAnsi="Times New Roman" w:cs="Times New Roman"/>
          <w:lang w:val="en-US" w:eastAsia="zh-CN"/>
        </w:rPr>
        <w:t>,B</w:t>
      </w:r>
      <w:r>
        <w:rPr>
          <w:rFonts w:ascii="Times New Roman" w:hAnsi="Times New Roman" w:cs="Times New Roman"/>
        </w:rPr>
        <w:t>)</w:t>
      </w:r>
      <w:r>
        <w:rPr>
          <w:rFonts w:hint="eastAsia" w:ascii="Times New Roman" w:hAnsi="Times New Roman" w:cs="Times New Roman"/>
          <w:lang w:val="en-US" w:eastAsia="zh-CN"/>
        </w:rPr>
        <w:t xml:space="preserve"> </w:t>
      </w:r>
      <w:r>
        <w:rPr>
          <w:rFonts w:ascii="Times New Roman" w:hAnsi="Times New Roman" w:cs="Times New Roman"/>
        </w:rPr>
        <w:t xml:space="preserve">Flow cytometry analyses of the incidence of apoptosis in </w:t>
      </w:r>
      <w:r>
        <w:rPr>
          <w:rFonts w:hint="eastAsia" w:ascii="Times New Roman" w:hAnsi="Times New Roman" w:cs="Times New Roman"/>
          <w:lang w:val="en-US" w:eastAsia="zh-CN"/>
        </w:rPr>
        <w:t xml:space="preserve">(A) </w:t>
      </w:r>
      <w:r>
        <w:rPr>
          <w:rFonts w:ascii="Times New Roman" w:hAnsi="Times New Roman" w:cs="Times New Roman"/>
        </w:rPr>
        <w:t xml:space="preserve">U87MG cell lines with/without knockdown RBBP4, or </w:t>
      </w:r>
      <w:r>
        <w:rPr>
          <w:rFonts w:hint="eastAsia" w:ascii="Times New Roman" w:hAnsi="Times New Roman" w:cs="Times New Roman"/>
          <w:lang w:val="en-US" w:eastAsia="zh-CN"/>
        </w:rPr>
        <w:t xml:space="preserve">in (B) </w:t>
      </w:r>
      <w:r>
        <w:rPr>
          <w:rFonts w:ascii="Times New Roman" w:hAnsi="Times New Roman" w:cs="Times New Roman"/>
        </w:rPr>
        <w:t>LN229 cell lines with/without overexpression RBBP4, and the data analysis diagram</w:t>
      </w:r>
      <w:r>
        <w:rPr>
          <w:rFonts w:hint="eastAsia" w:ascii="Times New Roman" w:hAnsi="Times New Roman" w:cs="Times New Roman"/>
          <w:lang w:val="en-US" w:eastAsia="zh-CN"/>
        </w:rPr>
        <w:t xml:space="preserve">.(C,D) </w:t>
      </w:r>
      <w:r>
        <w:rPr>
          <w:rFonts w:ascii="Times New Roman" w:hAnsi="Times New Roman" w:cs="Times New Roman"/>
        </w:rPr>
        <w:t xml:space="preserve">Flow cytometry analyses of the cell cycle arrest in </w:t>
      </w:r>
      <w:r>
        <w:rPr>
          <w:rFonts w:hint="eastAsia" w:ascii="Times New Roman" w:hAnsi="Times New Roman" w:cs="Times New Roman"/>
          <w:lang w:val="en-US" w:eastAsia="zh-CN"/>
        </w:rPr>
        <w:t xml:space="preserve">(A) </w:t>
      </w:r>
      <w:r>
        <w:rPr>
          <w:rFonts w:ascii="Times New Roman" w:hAnsi="Times New Roman" w:cs="Times New Roman"/>
        </w:rPr>
        <w:t xml:space="preserve">U87MG cell lines with/without knockdown RBBP4, or </w:t>
      </w:r>
      <w:r>
        <w:rPr>
          <w:rFonts w:hint="eastAsia" w:ascii="Times New Roman" w:hAnsi="Times New Roman" w:cs="Times New Roman"/>
          <w:lang w:val="en-US" w:eastAsia="zh-CN"/>
        </w:rPr>
        <w:t xml:space="preserve">(B) </w:t>
      </w:r>
      <w:r>
        <w:rPr>
          <w:rFonts w:ascii="Times New Roman" w:hAnsi="Times New Roman" w:cs="Times New Roman"/>
        </w:rPr>
        <w:t>LN229 cell lines with/without overexpression RBBP4, and the data analysis diagram</w:t>
      </w:r>
      <w:r>
        <w:rPr>
          <w:rFonts w:hint="eastAsia" w:ascii="Times New Roman" w:hAnsi="Times New Roman" w:cs="Times New Roman"/>
          <w:lang w:val="en-US" w:eastAsia="zh-CN"/>
        </w:rPr>
        <w:t>.</w:t>
      </w:r>
      <w:r>
        <w:rPr>
          <w:rFonts w:ascii="Times New Roman" w:hAnsi="Times New Roman" w:cs="Times New Roman"/>
        </w:rPr>
        <w:t>All experiments were performed at least in triplicate, and the data are presented as mean ± SD. ***, p &lt; 0.001; **, p &lt; 0.01; *, p &lt; 0.05; #, p &gt; 0.05.</w:t>
      </w:r>
    </w:p>
    <w:p>
      <w:pPr>
        <w:widowControl/>
        <w:numPr>
          <w:numId w:val="0"/>
        </w:numPr>
        <w:rPr>
          <w:rFonts w:hint="eastAsia" w:ascii="Times New Roman" w:hAnsi="Times New Roman" w:cs="Times New Roman" w:eastAsiaTheme="minorEastAsia"/>
          <w:lang w:eastAsia="zh-CN"/>
        </w:rPr>
      </w:pPr>
      <w:r>
        <w:rPr>
          <w:rFonts w:hint="eastAsia" w:ascii="Times New Roman" w:hAnsi="Times New Roman" w:cs="Times New Roman" w:eastAsiaTheme="minorEastAsia"/>
          <w:lang w:eastAsia="zh-CN"/>
        </w:rPr>
        <w:drawing>
          <wp:inline distT="0" distB="0" distL="114300" distR="114300">
            <wp:extent cx="5480050" cy="5274945"/>
            <wp:effectExtent l="0" t="0" r="6350" b="8255"/>
            <wp:docPr id="3" name="图片 3" descr="figure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igureS3(√)"/>
                    <pic:cNvPicPr>
                      <a:picLocks noChangeAspect="1"/>
                    </pic:cNvPicPr>
                  </pic:nvPicPr>
                  <pic:blipFill>
                    <a:blip r:embed="rId6"/>
                    <a:stretch>
                      <a:fillRect/>
                    </a:stretch>
                  </pic:blipFill>
                  <pic:spPr>
                    <a:xfrm>
                      <a:off x="0" y="0"/>
                      <a:ext cx="5480050" cy="5274945"/>
                    </a:xfrm>
                    <a:prstGeom prst="rect">
                      <a:avLst/>
                    </a:prstGeom>
                  </pic:spPr>
                </pic:pic>
              </a:graphicData>
            </a:graphic>
          </wp:inline>
        </w:drawing>
      </w:r>
    </w:p>
    <w:p>
      <w:pPr>
        <w:rPr>
          <w:rFonts w:ascii="Times New Roman" w:hAnsi="Times New Roman" w:cs="Times New Roman"/>
          <w:b/>
          <w:bCs/>
        </w:rPr>
      </w:pPr>
    </w:p>
    <w:p>
      <w:pPr>
        <w:rPr>
          <w:rFonts w:ascii="Times New Roman" w:hAnsi="Times New Roman" w:cs="Times New Roman"/>
          <w:b/>
          <w:bCs/>
        </w:rPr>
      </w:pPr>
      <w:r>
        <w:rPr>
          <w:rFonts w:ascii="Times New Roman" w:hAnsi="Times New Roman" w:cs="Times New Roman"/>
          <w:b/>
          <w:bCs/>
        </w:rPr>
        <w:t>Fig. S3 RBBP4 regulates TMZ sensitivity through modulation Rad50 in GBM cells.</w:t>
      </w:r>
    </w:p>
    <w:p>
      <w:pPr>
        <w:rPr>
          <w:rFonts w:ascii="Times New Roman" w:hAnsi="Times New Roman" w:cs="Times New Roman"/>
        </w:rPr>
      </w:pPr>
      <w:r>
        <w:rPr>
          <w:rFonts w:hint="eastAsia" w:ascii="Times New Roman" w:hAnsi="Times New Roman" w:cs="Times New Roman"/>
          <w:lang w:val="en-US" w:eastAsia="zh-CN"/>
        </w:rPr>
        <w:t xml:space="preserve">(A,B) </w:t>
      </w:r>
      <w:r>
        <w:rPr>
          <w:rFonts w:ascii="Times New Roman" w:hAnsi="Times New Roman" w:cs="Times New Roman"/>
        </w:rPr>
        <w:t xml:space="preserve">After treatment of 200um TMZ or DMSO respectively, combined with/without knockdown Rad 50, flow cytometry analyses of the incidence of </w:t>
      </w:r>
      <w:r>
        <w:rPr>
          <w:rFonts w:hint="eastAsia" w:ascii="Times New Roman" w:hAnsi="Times New Roman" w:cs="Times New Roman"/>
          <w:lang w:val="en-US" w:eastAsia="zh-CN"/>
        </w:rPr>
        <w:t xml:space="preserve">(A) </w:t>
      </w:r>
      <w:r>
        <w:rPr>
          <w:rFonts w:ascii="Times New Roman" w:hAnsi="Times New Roman" w:cs="Times New Roman"/>
        </w:rPr>
        <w:t xml:space="preserve">apoptosis and </w:t>
      </w:r>
      <w:r>
        <w:rPr>
          <w:rFonts w:hint="eastAsia" w:ascii="Times New Roman" w:hAnsi="Times New Roman" w:cs="Times New Roman"/>
          <w:lang w:val="en-US" w:eastAsia="zh-CN"/>
        </w:rPr>
        <w:t xml:space="preserve">(B) </w:t>
      </w:r>
      <w:r>
        <w:rPr>
          <w:rFonts w:ascii="Times New Roman" w:hAnsi="Times New Roman" w:cs="Times New Roman"/>
        </w:rPr>
        <w:t xml:space="preserve">cell cycle arrest in LN229 cell lines with/without overexpression RBBP4, and the data analysis diagram. </w:t>
      </w:r>
      <w:r>
        <w:rPr>
          <w:rFonts w:hint="eastAsia" w:ascii="Times New Roman" w:hAnsi="Times New Roman" w:cs="Times New Roman"/>
          <w:lang w:val="en-US" w:eastAsia="zh-CN"/>
        </w:rPr>
        <w:t xml:space="preserve">(C-E) </w:t>
      </w:r>
      <w:r>
        <w:rPr>
          <w:rFonts w:ascii="Times New Roman" w:hAnsi="Times New Roman" w:cs="Times New Roman"/>
        </w:rPr>
        <w:t xml:space="preserve">SiRNA interference fragment knockdown of </w:t>
      </w:r>
      <w:r>
        <w:rPr>
          <w:rFonts w:hint="eastAsia" w:ascii="Times New Roman" w:hAnsi="Times New Roman" w:cs="Times New Roman"/>
          <w:lang w:val="en-US" w:eastAsia="zh-CN"/>
        </w:rPr>
        <w:t xml:space="preserve">(C) </w:t>
      </w:r>
      <w:r>
        <w:rPr>
          <w:rFonts w:ascii="Times New Roman" w:hAnsi="Times New Roman" w:cs="Times New Roman"/>
        </w:rPr>
        <w:t xml:space="preserve">Rad50, </w:t>
      </w:r>
      <w:r>
        <w:rPr>
          <w:rFonts w:hint="eastAsia" w:ascii="Times New Roman" w:hAnsi="Times New Roman" w:cs="Times New Roman"/>
          <w:lang w:val="en-US" w:eastAsia="zh-CN"/>
        </w:rPr>
        <w:t xml:space="preserve">(D) </w:t>
      </w:r>
      <w:r>
        <w:rPr>
          <w:rFonts w:ascii="Times New Roman" w:hAnsi="Times New Roman" w:cs="Times New Roman"/>
        </w:rPr>
        <w:t xml:space="preserve">Elf1 and </w:t>
      </w:r>
      <w:r>
        <w:rPr>
          <w:rFonts w:hint="eastAsia" w:ascii="Times New Roman" w:hAnsi="Times New Roman" w:cs="Times New Roman"/>
          <w:lang w:val="en-US" w:eastAsia="zh-CN"/>
        </w:rPr>
        <w:t xml:space="preserve">(E) </w:t>
      </w:r>
      <w:r>
        <w:rPr>
          <w:rFonts w:ascii="Times New Roman" w:hAnsi="Times New Roman" w:cs="Times New Roman"/>
        </w:rPr>
        <w:t xml:space="preserve">GATA3 cell line protein verification </w:t>
      </w:r>
      <w:r>
        <w:rPr>
          <w:rFonts w:hint="eastAsia" w:ascii="Times New Roman" w:hAnsi="Times New Roman" w:cs="Times New Roman"/>
          <w:lang w:val="en-US" w:eastAsia="zh-CN"/>
        </w:rPr>
        <w:t xml:space="preserve">in </w:t>
      </w:r>
      <w:r>
        <w:rPr>
          <w:rFonts w:ascii="Times New Roman" w:hAnsi="Times New Roman" w:cs="Times New Roman"/>
        </w:rPr>
        <w:t xml:space="preserve">LN229 cell lines. </w:t>
      </w:r>
      <w:r>
        <w:rPr>
          <w:rFonts w:hint="eastAsia" w:ascii="Times New Roman" w:hAnsi="Times New Roman" w:cs="Times New Roman"/>
          <w:lang w:val="en-US" w:eastAsia="zh-CN"/>
        </w:rPr>
        <w:t xml:space="preserve">(F,G) </w:t>
      </w:r>
      <w:r>
        <w:rPr>
          <w:rFonts w:ascii="Times New Roman" w:hAnsi="Times New Roman" w:cs="Times New Roman"/>
        </w:rPr>
        <w:t xml:space="preserve">The Rechip assay determines the molecule that binds to the Rad50 promoter (Silver stain and </w:t>
      </w:r>
      <w:r>
        <w:rPr>
          <w:rFonts w:ascii="Times New Roman" w:hAnsi="Times New Roman" w:cs="Times New Roman"/>
        </w:rPr>
        <w:fldChar w:fldCharType="begin"/>
      </w:r>
      <w:r>
        <w:rPr>
          <w:rFonts w:ascii="Times New Roman" w:hAnsi="Times New Roman" w:cs="Times New Roman"/>
        </w:rPr>
        <w:instrText xml:space="preserve"> HYPERLINK "javascript:;" </w:instrText>
      </w:r>
      <w:r>
        <w:rPr>
          <w:rFonts w:ascii="Times New Roman" w:hAnsi="Times New Roman" w:cs="Times New Roman"/>
        </w:rPr>
        <w:fldChar w:fldCharType="separate"/>
      </w:r>
      <w:r>
        <w:rPr>
          <w:rFonts w:ascii="Times New Roman" w:hAnsi="Times New Roman" w:cs="Times New Roman"/>
        </w:rPr>
        <w:t>ultrasound</w:t>
      </w:r>
      <w:r>
        <w:rPr>
          <w:rFonts w:ascii="Times New Roman" w:hAnsi="Times New Roman" w:cs="Times New Roman"/>
        </w:rPr>
        <w:fldChar w:fldCharType="end"/>
      </w:r>
      <w:r>
        <w:rPr>
          <w:rFonts w:ascii="Times New Roman" w:hAnsi="Times New Roman" w:cs="Times New Roman"/>
        </w:rPr>
        <w:t xml:space="preserve"> results of </w:t>
      </w:r>
      <w:r>
        <w:rPr>
          <w:rFonts w:hint="eastAsia" w:ascii="Times New Roman" w:hAnsi="Times New Roman" w:cs="Times New Roman"/>
          <w:lang w:val="en-US" w:eastAsia="zh-CN"/>
        </w:rPr>
        <w:t xml:space="preserve">(F) </w:t>
      </w:r>
      <w:r>
        <w:rPr>
          <w:rFonts w:ascii="Times New Roman" w:hAnsi="Times New Roman" w:cs="Times New Roman"/>
        </w:rPr>
        <w:t xml:space="preserve">U87MG and </w:t>
      </w:r>
      <w:r>
        <w:rPr>
          <w:rFonts w:hint="eastAsia" w:ascii="Times New Roman" w:hAnsi="Times New Roman" w:cs="Times New Roman"/>
          <w:lang w:val="en-US" w:eastAsia="zh-CN"/>
        </w:rPr>
        <w:t xml:space="preserve">(G) </w:t>
      </w:r>
      <w:r>
        <w:rPr>
          <w:rFonts w:ascii="Times New Roman" w:hAnsi="Times New Roman" w:cs="Times New Roman"/>
        </w:rPr>
        <w:t xml:space="preserve">LN229) . </w:t>
      </w:r>
      <w:r>
        <w:rPr>
          <w:rFonts w:hint="eastAsia" w:ascii="Times New Roman" w:hAnsi="Times New Roman" w:cs="Times New Roman"/>
          <w:lang w:val="en-US" w:eastAsia="zh-CN"/>
        </w:rPr>
        <w:t>(H)</w:t>
      </w:r>
      <w:r>
        <w:rPr>
          <w:rFonts w:ascii="Times New Roman" w:hAnsi="Times New Roman" w:cs="Times New Roman"/>
        </w:rPr>
        <w:t xml:space="preserve">Venn diagrams </w:t>
      </w:r>
      <w:r>
        <w:rPr>
          <w:rFonts w:ascii="Times New Roman" w:hAnsi="Times New Roman" w:cs="Times New Roman"/>
        </w:rPr>
        <w:fldChar w:fldCharType="begin"/>
      </w:r>
      <w:r>
        <w:rPr>
          <w:rFonts w:ascii="Times New Roman" w:hAnsi="Times New Roman" w:cs="Times New Roman"/>
        </w:rPr>
        <w:instrText xml:space="preserve">HYPERLINK "javascript:;"</w:instrText>
      </w:r>
      <w:r>
        <w:rPr>
          <w:rFonts w:ascii="Times New Roman" w:hAnsi="Times New Roman" w:cs="Times New Roman"/>
        </w:rPr>
        <w:fldChar w:fldCharType="separate"/>
      </w:r>
      <w:r>
        <w:rPr>
          <w:rFonts w:ascii="Times New Roman" w:hAnsi="Times New Roman" w:cs="Times New Roman"/>
        </w:rPr>
        <w:t>show</w:t>
      </w:r>
      <w:r>
        <w:rPr>
          <w:rFonts w:ascii="Times New Roman" w:hAnsi="Times New Roman" w:cs="Times New Roman"/>
        </w:rPr>
        <w:fldChar w:fldCharType="end"/>
      </w:r>
      <w:r>
        <w:rPr>
          <w:rFonts w:ascii="Times New Roman" w:hAnsi="Times New Roman" w:cs="Times New Roman"/>
        </w:rPr>
        <w:t xml:space="preserve"> web prediction of the molecule that binds to the MRN complex (Mre11, Rad50, </w:t>
      </w:r>
      <w:r>
        <w:rPr>
          <w:rFonts w:hint="eastAsia" w:ascii="Times New Roman" w:hAnsi="Times New Roman" w:cs="Times New Roman"/>
        </w:rPr>
        <w:t>and</w:t>
      </w:r>
      <w:r>
        <w:rPr>
          <w:rFonts w:ascii="Times New Roman" w:hAnsi="Times New Roman" w:cs="Times New Roman"/>
        </w:rPr>
        <w:t xml:space="preserve"> NBS1) .All experiments were performed at least in triplicate, and the data are presented as mean ± SD. ***, p &lt; 0.001; **, p &lt; 0.01; *, p &lt; 0.05; #, p &gt; 0.05.</w:t>
      </w:r>
    </w:p>
    <w:p>
      <w:pPr>
        <w:rPr>
          <w:rFonts w:hint="eastAsia" w:ascii="Times New Roman" w:hAnsi="Times New Roman" w:cs="Times New Roman" w:eastAsiaTheme="minorEastAsia"/>
          <w:lang w:eastAsia="zh-CN"/>
        </w:rPr>
      </w:pPr>
      <w:r>
        <w:rPr>
          <w:rFonts w:hint="eastAsia" w:ascii="Times New Roman" w:hAnsi="Times New Roman" w:cs="Times New Roman" w:eastAsiaTheme="minorEastAsia"/>
          <w:lang w:eastAsia="zh-CN"/>
        </w:rPr>
        <w:drawing>
          <wp:inline distT="0" distB="0" distL="114300" distR="114300">
            <wp:extent cx="5266055" cy="3785235"/>
            <wp:effectExtent l="0" t="0" r="4445" b="12065"/>
            <wp:docPr id="4" name="图片 4" descr="figure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figureS4（√）"/>
                    <pic:cNvPicPr>
                      <a:picLocks noChangeAspect="1"/>
                    </pic:cNvPicPr>
                  </pic:nvPicPr>
                  <pic:blipFill>
                    <a:blip r:embed="rId7"/>
                    <a:stretch>
                      <a:fillRect/>
                    </a:stretch>
                  </pic:blipFill>
                  <pic:spPr>
                    <a:xfrm>
                      <a:off x="0" y="0"/>
                      <a:ext cx="5266055" cy="3785235"/>
                    </a:xfrm>
                    <a:prstGeom prst="rect">
                      <a:avLst/>
                    </a:prstGeom>
                  </pic:spPr>
                </pic:pic>
              </a:graphicData>
            </a:graphic>
          </wp:inline>
        </w:drawing>
      </w:r>
    </w:p>
    <w:p>
      <w:pPr>
        <w:rPr>
          <w:rFonts w:hint="default" w:ascii="Times New Roman" w:hAnsi="Times New Roman" w:cs="Times New Roman" w:eastAsiaTheme="minorEastAsia"/>
          <w:lang w:eastAsia="zh-CN"/>
        </w:rPr>
      </w:pPr>
    </w:p>
    <w:p>
      <w:pPr>
        <w:rPr>
          <w:rFonts w:ascii="Times New Roman" w:hAnsi="Times New Roman" w:cs="Times New Roman"/>
          <w:b/>
          <w:bCs/>
          <w:sz w:val="21"/>
          <w:szCs w:val="24"/>
        </w:rPr>
      </w:pPr>
      <w:r>
        <w:rPr>
          <w:rFonts w:ascii="Times New Roman" w:hAnsi="Times New Roman" w:cs="Times New Roman"/>
          <w:b/>
          <w:bCs/>
          <w:sz w:val="21"/>
          <w:szCs w:val="24"/>
        </w:rPr>
        <w:t>Fig. S4 RBBP4 inhibited TMZ-induced cell cycle arrest and apoptosis through DSB repair.</w:t>
      </w:r>
    </w:p>
    <w:p>
      <w:pPr>
        <w:rPr>
          <w:rFonts w:ascii="Times New Roman" w:hAnsi="Times New Roman" w:cs="Times New Roman"/>
        </w:rPr>
      </w:pPr>
      <w:r>
        <w:rPr>
          <w:rFonts w:hint="eastAsia" w:ascii="Times New Roman" w:hAnsi="Times New Roman" w:cs="Times New Roman"/>
          <w:lang w:val="en-US" w:eastAsia="zh-CN"/>
        </w:rPr>
        <w:t xml:space="preserve">(A,B) </w:t>
      </w:r>
      <w:r>
        <w:rPr>
          <w:rFonts w:ascii="Times New Roman" w:hAnsi="Times New Roman" w:cs="Times New Roman"/>
        </w:rPr>
        <w:t xml:space="preserve">After treatment of 200um TMZ or DMSO </w:t>
      </w:r>
      <w:r>
        <w:rPr>
          <w:rFonts w:hint="eastAsia" w:ascii="Times New Roman" w:hAnsi="Times New Roman" w:cs="Times New Roman"/>
          <w:lang w:val="en-US" w:eastAsia="zh-CN"/>
        </w:rPr>
        <w:t xml:space="preserve">for 48h </w:t>
      </w:r>
      <w:r>
        <w:rPr>
          <w:rFonts w:ascii="Times New Roman" w:hAnsi="Times New Roman" w:cs="Times New Roman"/>
        </w:rPr>
        <w:t xml:space="preserve">respectively,combined with/without Mirin stimulation, flow cytometry analyses of the incidence of </w:t>
      </w:r>
      <w:r>
        <w:rPr>
          <w:rFonts w:hint="eastAsia" w:ascii="Times New Roman" w:hAnsi="Times New Roman" w:cs="Times New Roman"/>
          <w:lang w:val="en-US" w:eastAsia="zh-CN"/>
        </w:rPr>
        <w:t xml:space="preserve">(A) </w:t>
      </w:r>
      <w:r>
        <w:rPr>
          <w:rFonts w:ascii="Times New Roman" w:hAnsi="Times New Roman" w:cs="Times New Roman"/>
        </w:rPr>
        <w:t xml:space="preserve">apoptosis and </w:t>
      </w:r>
      <w:r>
        <w:rPr>
          <w:rFonts w:hint="eastAsia" w:ascii="Times New Roman" w:hAnsi="Times New Roman" w:cs="Times New Roman"/>
          <w:lang w:val="en-US" w:eastAsia="zh-CN"/>
        </w:rPr>
        <w:t xml:space="preserve">(B) </w:t>
      </w:r>
      <w:r>
        <w:rPr>
          <w:rFonts w:ascii="Times New Roman" w:hAnsi="Times New Roman" w:cs="Times New Roman"/>
        </w:rPr>
        <w:t>cell cycle arrest</w:t>
      </w:r>
      <w:r>
        <w:rPr>
          <w:rFonts w:hint="eastAsia" w:ascii="Times New Roman" w:hAnsi="Times New Roman" w:cs="Times New Roman"/>
          <w:lang w:val="en-US" w:eastAsia="zh-CN"/>
        </w:rPr>
        <w:t xml:space="preserve"> </w:t>
      </w:r>
      <w:r>
        <w:rPr>
          <w:rFonts w:ascii="Times New Roman" w:hAnsi="Times New Roman" w:cs="Times New Roman"/>
        </w:rPr>
        <w:t>in LN229 cell lines with/without overexpression RBBP4</w:t>
      </w:r>
      <w:r>
        <w:rPr>
          <w:rFonts w:hint="eastAsia" w:ascii="Times New Roman" w:hAnsi="Times New Roman" w:cs="Times New Roman"/>
          <w:lang w:val="en-US" w:eastAsia="zh-CN"/>
        </w:rPr>
        <w:t xml:space="preserve"> </w:t>
      </w:r>
      <w:r>
        <w:rPr>
          <w:rFonts w:ascii="Times New Roman" w:hAnsi="Times New Roman" w:cs="Times New Roman"/>
        </w:rPr>
        <w:t>and the data analysis diagram. All experiments were performed at least in triplicate, and the data are presented as mean ± SD. ***, p &lt; 0.001; **, p &lt; 0.01; *, p &lt; 0.05; #, p &gt; 0.05.</w:t>
      </w:r>
    </w:p>
    <w:p>
      <w:pPr>
        <w:snapToGrid w:val="0"/>
        <w:spacing w:line="480" w:lineRule="auto"/>
        <w:outlineLvl w:val="0"/>
        <w:rPr>
          <w:rFonts w:hint="eastAsia" w:ascii="Times New Roman" w:hAnsi="Times New Roman" w:cs="Times New Roman" w:eastAsiaTheme="minorEastAsia"/>
          <w:lang w:eastAsia="zh-CN"/>
        </w:rPr>
      </w:pPr>
      <w:r>
        <w:rPr>
          <w:rFonts w:hint="eastAsia" w:ascii="Times New Roman" w:hAnsi="Times New Roman" w:cs="Times New Roman" w:eastAsiaTheme="minorEastAsia"/>
          <w:lang w:eastAsia="zh-CN"/>
        </w:rPr>
        <w:drawing>
          <wp:inline distT="0" distB="0" distL="114300" distR="114300">
            <wp:extent cx="5268595" cy="5259705"/>
            <wp:effectExtent l="0" t="0" r="1905" b="10795"/>
            <wp:docPr id="5" name="图片 5" descr="figures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iguresS5(√)"/>
                    <pic:cNvPicPr>
                      <a:picLocks noChangeAspect="1"/>
                    </pic:cNvPicPr>
                  </pic:nvPicPr>
                  <pic:blipFill>
                    <a:blip r:embed="rId8"/>
                    <a:stretch>
                      <a:fillRect/>
                    </a:stretch>
                  </pic:blipFill>
                  <pic:spPr>
                    <a:xfrm>
                      <a:off x="0" y="0"/>
                      <a:ext cx="5268595" cy="5259705"/>
                    </a:xfrm>
                    <a:prstGeom prst="rect">
                      <a:avLst/>
                    </a:prstGeom>
                  </pic:spPr>
                </pic:pic>
              </a:graphicData>
            </a:graphic>
          </wp:inline>
        </w:drawing>
      </w:r>
    </w:p>
    <w:p>
      <w:pPr>
        <w:pStyle w:val="3"/>
        <w:widowControl/>
        <w:wordWrap w:val="0"/>
        <w:spacing w:before="60" w:after="60" w:line="200" w:lineRule="atLeast"/>
        <w:rPr>
          <w:rFonts w:ascii="Times New Roman" w:hAnsi="Times New Roman" w:cs="Times New Roman"/>
          <w:b/>
          <w:bCs/>
          <w:sz w:val="21"/>
          <w:szCs w:val="24"/>
        </w:rPr>
      </w:pPr>
      <w:r>
        <w:rPr>
          <w:rFonts w:ascii="Times New Roman" w:hAnsi="Times New Roman" w:cs="Times New Roman"/>
          <w:b/>
          <w:bCs/>
          <w:sz w:val="21"/>
          <w:szCs w:val="24"/>
        </w:rPr>
        <w:t>Fig.</w:t>
      </w:r>
      <w:r>
        <w:rPr>
          <w:rFonts w:hint="eastAsia" w:ascii="Times New Roman" w:hAnsi="Times New Roman" w:cs="Times New Roman"/>
          <w:b/>
          <w:bCs/>
          <w:sz w:val="21"/>
          <w:szCs w:val="24"/>
          <w:lang w:val="en-US" w:eastAsia="zh-CN"/>
        </w:rPr>
        <w:t xml:space="preserve"> </w:t>
      </w:r>
      <w:r>
        <w:rPr>
          <w:rFonts w:ascii="Times New Roman" w:hAnsi="Times New Roman" w:cs="Times New Roman"/>
          <w:b/>
          <w:bCs/>
          <w:sz w:val="21"/>
          <w:szCs w:val="24"/>
        </w:rPr>
        <w:t>S5 RBBP4 inhibited X-ray-induced cell cycle arrest and apoptosis in GBM cell lines. </w:t>
      </w:r>
    </w:p>
    <w:p>
      <w:pPr>
        <w:pStyle w:val="3"/>
        <w:widowControl/>
        <w:wordWrap w:val="0"/>
        <w:spacing w:before="60" w:after="60" w:line="200" w:lineRule="atLeast"/>
        <w:rPr>
          <w:rFonts w:ascii="Times New Roman" w:hAnsi="Times New Roman" w:cs="Times New Roman"/>
        </w:rPr>
      </w:pPr>
      <w:bookmarkStart w:id="8" w:name="_GoBack"/>
      <w:bookmarkEnd w:id="8"/>
      <w:r>
        <w:rPr>
          <w:rFonts w:ascii="Times New Roman" w:hAnsi="Times New Roman" w:cs="Times New Roman"/>
        </w:rPr>
        <w:t>After treatment of X-ray (2 Gy) or not respectively</w:t>
      </w:r>
      <w:r>
        <w:rPr>
          <w:rFonts w:hint="eastAsia" w:ascii="Times New Roman" w:hAnsi="Times New Roman" w:cs="Times New Roman"/>
          <w:lang w:val="en-US" w:eastAsia="zh-CN"/>
        </w:rPr>
        <w:t>.</w:t>
      </w:r>
      <w:r>
        <w:rPr>
          <w:rFonts w:ascii="Times New Roman" w:hAnsi="Times New Roman" w:cs="Times New Roman"/>
        </w:rPr>
        <w:t xml:space="preserve"> </w:t>
      </w:r>
      <w:r>
        <w:rPr>
          <w:rFonts w:hint="eastAsia" w:ascii="Times New Roman" w:hAnsi="Times New Roman" w:cs="Times New Roman"/>
          <w:lang w:val="en-US" w:eastAsia="zh-CN"/>
        </w:rPr>
        <w:t>(A-D) F</w:t>
      </w:r>
      <w:r>
        <w:rPr>
          <w:rFonts w:ascii="Times New Roman" w:hAnsi="Times New Roman" w:cs="Times New Roman"/>
        </w:rPr>
        <w:t xml:space="preserve">low cytometry analyses of the incidence of apoptosis and cell cycle arrest in </w:t>
      </w:r>
      <w:r>
        <w:rPr>
          <w:rFonts w:hint="eastAsia" w:ascii="Times New Roman" w:hAnsi="Times New Roman" w:cs="Times New Roman"/>
          <w:lang w:val="en-US" w:eastAsia="zh-CN"/>
        </w:rPr>
        <w:t xml:space="preserve">(A,C) </w:t>
      </w:r>
      <w:r>
        <w:rPr>
          <w:rFonts w:ascii="Times New Roman" w:hAnsi="Times New Roman" w:cs="Times New Roman"/>
        </w:rPr>
        <w:t xml:space="preserve">U87MG cell lines with/without knockdown RBBP4, or in </w:t>
      </w:r>
      <w:r>
        <w:rPr>
          <w:rFonts w:hint="eastAsia" w:ascii="Times New Roman" w:hAnsi="Times New Roman" w:cs="Times New Roman"/>
          <w:lang w:val="en-US" w:eastAsia="zh-CN"/>
        </w:rPr>
        <w:t xml:space="preserve">(B,D) </w:t>
      </w:r>
      <w:r>
        <w:rPr>
          <w:rFonts w:ascii="Times New Roman" w:hAnsi="Times New Roman" w:cs="Times New Roman"/>
        </w:rPr>
        <w:t>LN229 cell lines with/without overexpression RBBP4, and the data analysis diagram</w:t>
      </w:r>
      <w:r>
        <w:rPr>
          <w:rFonts w:hint="eastAsia" w:ascii="Times New Roman" w:hAnsi="Times New Roman" w:cs="Times New Roman"/>
          <w:lang w:val="en-US" w:eastAsia="zh-CN"/>
        </w:rPr>
        <w:t>;(E,F) w</w:t>
      </w:r>
      <w:r>
        <w:rPr>
          <w:rFonts w:ascii="Times New Roman" w:hAnsi="Times New Roman" w:cs="Times New Roman"/>
        </w:rPr>
        <w:t xml:space="preserve">estern blot analyses of the expression of MSH2 and MSH6 in </w:t>
      </w:r>
      <w:r>
        <w:rPr>
          <w:rFonts w:hint="eastAsia" w:ascii="Times New Roman" w:hAnsi="Times New Roman" w:cs="Times New Roman"/>
          <w:lang w:val="en-US" w:eastAsia="zh-CN"/>
        </w:rPr>
        <w:t xml:space="preserve">(E) </w:t>
      </w:r>
      <w:r>
        <w:rPr>
          <w:rFonts w:ascii="Times New Roman" w:hAnsi="Times New Roman" w:cs="Times New Roman"/>
        </w:rPr>
        <w:t xml:space="preserve">U87MG cell lines with/without knockdown RBBP4, or in </w:t>
      </w:r>
      <w:r>
        <w:rPr>
          <w:rFonts w:hint="eastAsia" w:ascii="Times New Roman" w:hAnsi="Times New Roman" w:cs="Times New Roman"/>
          <w:lang w:val="en-US" w:eastAsia="zh-CN"/>
        </w:rPr>
        <w:t xml:space="preserve">(F) </w:t>
      </w:r>
      <w:r>
        <w:rPr>
          <w:rFonts w:ascii="Times New Roman" w:hAnsi="Times New Roman" w:cs="Times New Roman"/>
        </w:rPr>
        <w:t>LN229 cell lines with/without overexpression RBBP4</w:t>
      </w:r>
      <w:r>
        <w:rPr>
          <w:rFonts w:hint="eastAsia" w:ascii="Times New Roman" w:hAnsi="Times New Roman" w:cs="Times New Roman"/>
          <w:lang w:val="en-US" w:eastAsia="zh-CN"/>
        </w:rPr>
        <w:t xml:space="preserve">;(G) </w:t>
      </w:r>
      <w:r>
        <w:rPr>
          <w:rFonts w:ascii="Times New Roman" w:hAnsi="Times New Roman" w:cs="Times New Roman"/>
        </w:rPr>
        <w:t>Western blot analyses of the expression of γ-H2AX after treatment of X-ray (0, 0.5, 1, 2, 4, 6, 8, 10Gy) in U87MG cell lines</w:t>
      </w:r>
      <w:r>
        <w:rPr>
          <w:rFonts w:hint="eastAsia" w:ascii="Times New Roman" w:hAnsi="Times New Roman" w:cs="Times New Roman"/>
          <w:lang w:val="en-US" w:eastAsia="zh-CN"/>
        </w:rPr>
        <w:t>.</w:t>
      </w:r>
      <w:r>
        <w:rPr>
          <w:rFonts w:ascii="Times New Roman" w:hAnsi="Times New Roman" w:cs="Times New Roman"/>
        </w:rPr>
        <w:t xml:space="preserve"> (</w:t>
      </w:r>
      <w:r>
        <w:rPr>
          <w:rFonts w:hint="eastAsia" w:ascii="Times New Roman" w:hAnsi="Times New Roman" w:cs="Times New Roman"/>
          <w:lang w:val="en-US" w:eastAsia="zh-CN"/>
        </w:rPr>
        <w:t>H</w:t>
      </w:r>
      <w:r>
        <w:rPr>
          <w:rFonts w:ascii="Times New Roman" w:hAnsi="Times New Roman" w:cs="Times New Roman"/>
        </w:rPr>
        <w:t xml:space="preserve">) </w:t>
      </w:r>
      <w:r>
        <w:rPr>
          <w:rFonts w:hint="eastAsia" w:ascii="Times New Roman" w:hAnsi="Times New Roman" w:cs="Times New Roman"/>
          <w:lang w:val="en-US" w:eastAsia="zh-CN"/>
        </w:rPr>
        <w:t>W</w:t>
      </w:r>
      <w:r>
        <w:rPr>
          <w:rFonts w:ascii="Times New Roman" w:hAnsi="Times New Roman" w:cs="Times New Roman"/>
        </w:rPr>
        <w:t>estern blot analyses of the expression of γ-H2AX at 0, 0.5, 1, 2, 4, 6 and 8h in U87MG cell lines.All experiments were performed at least in triplicate, and the data are presented as mean ± SD. ***, p &lt; 0.001; **, p &lt; 0.01; *, p &lt; 0.05; #, p &gt; 0.05.</w:t>
      </w:r>
    </w:p>
    <w:p>
      <w:pPr>
        <w:snapToGrid w:val="0"/>
        <w:spacing w:line="480" w:lineRule="auto"/>
        <w:outlineLvl w:val="0"/>
        <w:rPr>
          <w:rFonts w:hint="default" w:ascii="Times New Roman" w:hAnsi="Times New Roman" w:cs="Times New Roma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14BC5C"/>
    <w:multiLevelType w:val="singleLevel"/>
    <w:tmpl w:val="8314BC5C"/>
    <w:lvl w:ilvl="0" w:tentative="0">
      <w:start w:val="1"/>
      <w:numFmt w:val="upperLetter"/>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UwMTg3ZGZlYzY2YmFhYmY2MDcwYTZjNWNlZTE1YmEifQ=="/>
  </w:docVars>
  <w:rsids>
    <w:rsidRoot w:val="00000000"/>
    <w:rsid w:val="01F64D0F"/>
    <w:rsid w:val="05F26722"/>
    <w:rsid w:val="07210888"/>
    <w:rsid w:val="07CB5361"/>
    <w:rsid w:val="09534855"/>
    <w:rsid w:val="0B921B9A"/>
    <w:rsid w:val="115A5DC5"/>
    <w:rsid w:val="13AF4CB2"/>
    <w:rsid w:val="18D557D6"/>
    <w:rsid w:val="1B387C6C"/>
    <w:rsid w:val="20264E04"/>
    <w:rsid w:val="210100F0"/>
    <w:rsid w:val="220E5BB6"/>
    <w:rsid w:val="26C863CA"/>
    <w:rsid w:val="2A916FE5"/>
    <w:rsid w:val="2AB345F2"/>
    <w:rsid w:val="2BE772F2"/>
    <w:rsid w:val="2C19204B"/>
    <w:rsid w:val="2C7E68E7"/>
    <w:rsid w:val="2EB82803"/>
    <w:rsid w:val="313C3C3D"/>
    <w:rsid w:val="33922032"/>
    <w:rsid w:val="3550415A"/>
    <w:rsid w:val="379F3761"/>
    <w:rsid w:val="3A402A90"/>
    <w:rsid w:val="3CD25303"/>
    <w:rsid w:val="3CF35B7C"/>
    <w:rsid w:val="3DFF04CC"/>
    <w:rsid w:val="426225E5"/>
    <w:rsid w:val="436050BF"/>
    <w:rsid w:val="436776F4"/>
    <w:rsid w:val="44C24001"/>
    <w:rsid w:val="46103A90"/>
    <w:rsid w:val="49333E11"/>
    <w:rsid w:val="4A1932A7"/>
    <w:rsid w:val="4CB4233F"/>
    <w:rsid w:val="5682571F"/>
    <w:rsid w:val="56AE2637"/>
    <w:rsid w:val="58431F6B"/>
    <w:rsid w:val="59D20515"/>
    <w:rsid w:val="5B1A6022"/>
    <w:rsid w:val="5B5C6B06"/>
    <w:rsid w:val="5C82259C"/>
    <w:rsid w:val="5E5278C1"/>
    <w:rsid w:val="5EA2268D"/>
    <w:rsid w:val="61753C15"/>
    <w:rsid w:val="61EC3C39"/>
    <w:rsid w:val="62314848"/>
    <w:rsid w:val="64A02DEE"/>
    <w:rsid w:val="65A06C9E"/>
    <w:rsid w:val="662E6919"/>
    <w:rsid w:val="664C50EB"/>
    <w:rsid w:val="691711AA"/>
    <w:rsid w:val="6AFD265E"/>
    <w:rsid w:val="6C966452"/>
    <w:rsid w:val="73753780"/>
    <w:rsid w:val="79951709"/>
    <w:rsid w:val="7A790DB2"/>
    <w:rsid w:val="7AD65B35"/>
    <w:rsid w:val="7B177F34"/>
    <w:rsid w:val="7FF9371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5">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3">
    <w:name w:val="Normal (Web)"/>
    <w:basedOn w:val="1"/>
    <w:uiPriority w:val="0"/>
    <w:pPr>
      <w:spacing w:before="0" w:beforeAutospacing="1" w:after="0" w:afterAutospacing="1"/>
      <w:ind w:left="0" w:right="0"/>
      <w:jc w:val="left"/>
    </w:pPr>
    <w:rPr>
      <w:kern w:val="0"/>
      <w:sz w:val="24"/>
      <w:lang w:val="en-US" w:eastAsia="zh-CN" w:bidi="ar"/>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image" Target="media/image5.tiff"/><Relationship Id="rId7" Type="http://schemas.openxmlformats.org/officeDocument/2006/relationships/image" Target="media/image4.tiff"/><Relationship Id="rId6" Type="http://schemas.openxmlformats.org/officeDocument/2006/relationships/image" Target="media/image3.tiff"/><Relationship Id="rId5" Type="http://schemas.openxmlformats.org/officeDocument/2006/relationships/image" Target="media/image2.tiff"/><Relationship Id="rId4" Type="http://schemas.openxmlformats.org/officeDocument/2006/relationships/image" Target="media/image1.tiff"/><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8</Pages>
  <Words>2066</Words>
  <Characters>11573</Characters>
  <Lines>0</Lines>
  <Paragraphs>0</Paragraphs>
  <TotalTime>3</TotalTime>
  <ScaleCrop>false</ScaleCrop>
  <LinksUpToDate>false</LinksUpToDate>
  <CharactersWithSpaces>13586</CharactersWithSpaces>
  <Application>WPS Office_11.1.0.12302_F1E327BC-269C-435d-A152-05C5408002CA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2022-08-03T06:23:00Z</dcterms:created>
  <dc:creator>denni</dc:creator>
  <cp:lastModifiedBy>宋小童</cp:lastModifiedBy>
  <dcterms:modified xsi:type="dcterms:W3CDTF">2022-08-08T07:40:16Z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2052-11.1.0.12302</vt:lpwstr>
  </property>
  <property fmtid="{D5CDD505-2E9C-101B-9397-08002B2CF9AE}" pid="3" name="ICV">
    <vt:lpwstr>DFFD3A60CEA24258AAC49ECCE1BCF3F4</vt:lpwstr>
  </property>
</Properties>
</file>